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C43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mc:AlternateContent>
        <mc:Choice Requires="wpsCustomData">
          <wpsCustomData:docfieldStart id="0" docfieldname="标题_1" hidden="0" print="1" readonly="0" index="2"/>
        </mc:Choice>
      </mc:AlternateContent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自治州州属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国有企业违规经营投资责任追究实施办法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的修订说明</w:t>
      </w:r>
    </w:p>
    <w:p w14:paraId="61A54D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</w:p>
    <w:p w14:paraId="5F8E73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为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进一步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规范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州属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国有企业违规经营投资责任追究工作，促进企业依法合规经营，根据《中华人民共和国公司法》《中华人民共和国企业国有资产法》《企业国有资产监督管理暂行条例》《国有企业管理人员处分条例》和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《国有企业领导人员廉洁从业规定》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等法律法规和文件，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参照《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中央企业违规经营投资责任追究实施办法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（2025年国务院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国资委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第46号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令）《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自治区区属国有企业违规经营投资责任追究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实施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办法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》（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新政办发〔2026〕50号），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结合自治区区属国有企业实际，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在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自治州本级国有企业违规经营投资责任追究办法（试行）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》（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伊州政办规字〔2020〕1号）基础上，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州国资委代起草修订《自治州州属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国有企业违规经营投资责任追究实施办法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》，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现说明如下。</w:t>
      </w:r>
    </w:p>
    <w:p w14:paraId="1885E6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本办法共8章92条，整体框架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与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中央、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自治区办法保持一致，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相较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中央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办法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新增条款：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“自治州州属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国有金融、文化和供销等领域的出资人机构及企业责任追究工作，参照本办法执行。有特殊规定的，从其规定。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”</w:t>
      </w:r>
    </w:p>
    <w:p w14:paraId="575084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（一）损失认定标准</w:t>
      </w:r>
    </w:p>
    <w:p w14:paraId="0B3205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中央企业违规经营投资资产损失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认定：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500万元以下为一般资产损失，500万元以上5000万元以下为较大资产损失，5000万元以上为重大资产损失。</w:t>
      </w:r>
    </w:p>
    <w:p w14:paraId="27138E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区属国有企业违规经营投资资产损失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认定：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200万元以下为一般资产损失，200万元以上1000万元以下为较大资产损失，1000万元以上为重大资产损失。</w:t>
      </w:r>
    </w:p>
    <w:p w14:paraId="7F7425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3.州属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企业违规经营投资资产损失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认定：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100万元以下为一般资产损失，100万元以上500万元以下为较大资产损失，500万元以上为重大资产损失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。</w:t>
      </w:r>
    </w:p>
    <w:p w14:paraId="09E1F3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（二）责任追究范围排序</w:t>
      </w:r>
    </w:p>
    <w:p w14:paraId="7AEF67C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1.国家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规定顺序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：集团管控、风险管理、购销管理、工程承包、金融业务、科技创新、资金管理、产权管理、固定资产投资、股权投资、改组改制、境外经营投资</w:t>
      </w:r>
    </w:p>
    <w:p w14:paraId="1797DC6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2.自治区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规定顺序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：集团管控、风险管理、购销管理、工程承包、科技创新、金融业务、资金管理、产权管理、固定资产投资、股权投资、改组改制、境外经营投资</w:t>
      </w:r>
    </w:p>
    <w:p w14:paraId="17A7A4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3.自治州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规定顺序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：集团管控、风险管理、资金管理、产权管理、固定资产投资、股权投资、购销管理、工程承包、金融业务、科技创新、改组改制、境外经营投资</w:t>
      </w:r>
    </w:p>
    <w:p w14:paraId="6E0727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（三）自治区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相较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国家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修改内容</w:t>
      </w:r>
    </w:p>
    <w:p w14:paraId="43E218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1.第十五条固定资产投资方面第（八）项，增加“或烂尾、未达到质量标准及设计要求”表述。</w:t>
      </w:r>
    </w:p>
    <w:p w14:paraId="6719DE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第七十七条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增加“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作为干部考核任用重要依据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内容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。</w:t>
      </w:r>
    </w:p>
    <w:p w14:paraId="41A70C5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将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第八十二条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国务院国资委强化整改措施落实情况的监督检查，通报警示典型案例，防止屡查屡犯，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巩固整改成果”，调整为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自治区国资委强化整改监督检查，通报典型案例，严防问题反弹，巩固整改成果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。</w:t>
      </w:r>
    </w:p>
    <w:p w14:paraId="28A4B24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（四）自治州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相较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自治区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楷体" w:cs="Times New Roman"/>
          <w:b/>
          <w:bCs/>
          <w:sz w:val="32"/>
          <w:szCs w:val="32"/>
          <w:lang w:val="en-US" w:eastAsia="zh-CN"/>
        </w:rPr>
        <w:t>修改内容</w:t>
      </w:r>
    </w:p>
    <w:p w14:paraId="3C0826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第六十九条删除“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违反本办法有关规定，需进一步查证的，经自治区国资委主要负责人批准同意后立案，书面告知被核查或调查企业，并向有管理权限的国家监察机关通报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”的内容，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原因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州国资委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不具备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立案审批权限。</w:t>
      </w:r>
    </w:p>
    <w:p w14:paraId="4E89D8F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（五）修订版与现行版相比，新增内容已标注下划线，具体如下：</w:t>
      </w:r>
    </w:p>
    <w:p w14:paraId="37FC4C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扩充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责任追究范围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集团管控方面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4条，风险管理方面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1条，资金管理方面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2条，产权管理方面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4条，固定资产投资方面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4条，股权投资方面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4条，购销管理方面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2条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；增设科技创新相关条款5条、金融业务相关条款6条，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境外投资方面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3条、修改1条。</w:t>
      </w:r>
    </w:p>
    <w:p w14:paraId="058902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新增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第三十六条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其他不良后果的界定规范。</w:t>
      </w:r>
    </w:p>
    <w:p w14:paraId="0F16C4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3.新增第三十六条关于免于承担责任的情形规定。</w:t>
      </w:r>
    </w:p>
    <w:p w14:paraId="1E7C41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4.第五章“责任追究处理”部分，依据最新规定调整相关规范表述。</w:t>
      </w:r>
    </w:p>
    <w:p w14:paraId="13AC117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5.新增第四十九条从轻、从重追责相关规定，以及第四十八条减轻、加重追责的相关规定；</w:t>
      </w:r>
    </w:p>
    <w:p w14:paraId="228DFB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6.第七十三条增加“核查或调查期间相关责任人原则上不得离职”的表述。</w:t>
      </w:r>
    </w:p>
    <w:p w14:paraId="07C3186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br w:type="page"/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征求处室、企业意见情况</w:t>
      </w:r>
    </w:p>
    <w:p w14:paraId="3CEF17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7FF6B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《自治州州属国有企业违规经营投资责任追究实施办法》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共征求意见10条，采纳6条</w:t>
      </w:r>
    </w:p>
    <w:p w14:paraId="5A80C2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产权处建议在第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条中增加《自治州州属国有企业领导人员管理规定》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已采纳并修改。</w:t>
      </w:r>
    </w:p>
    <w:p w14:paraId="2F2F0F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产权处建议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将所有“明令禁止”字样修改为“禁止”。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已采纳并修改。</w:t>
      </w:r>
    </w:p>
    <w:p w14:paraId="0D88456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3.产权处建议第9条“发行股票或债券”修改为“发行债券、投资股票”。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已采纳并修改。</w:t>
      </w:r>
    </w:p>
    <w:p w14:paraId="1D084E2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4.产权处建议明确第32条所列条款。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已采纳并修改。</w:t>
      </w:r>
    </w:p>
    <w:p w14:paraId="000B6D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5.产权处建议第43条“政务处分或处分”修改为“政务处分或组织处理”。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已采纳并修改。</w:t>
      </w:r>
    </w:p>
    <w:p w14:paraId="56FE20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6.产权处建议第58条“党委”修改为“党组织”。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已采纳并修改。</w:t>
      </w:r>
    </w:p>
    <w:p w14:paraId="4FD113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7.法律顾问建议第2条增加一款“本办法适用于州属国有企业及其各级全资、控股和实际控制子企业”，避免适用主体范围产生歧义。</w:t>
      </w:r>
    </w:p>
    <w:p w14:paraId="3A248E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不予采纳，原因为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办法第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条明确责任追究工作遵循分级分层追责原则，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即适用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范围覆盖各级子企业。第六章“责任追究工作职责”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明确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本办法不仅适用于州国资委直接出资的州属一级企业，其所属各级子企业的违规经营投资责任追究工作均受本办法约束，同时上级企业需对下属子企业的相关违规情形承担相应管理责任。</w:t>
      </w:r>
    </w:p>
    <w:p w14:paraId="50E8AA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8.法律顾问建议第73条“核查期间原则上不得离职”修改为“相关责任人未经责任追究机构同意，不得擅自离职，确需离职的，应当报经批准。违反规定擅自离职的，依法依纪依规处理，并作为从重处理情节”。</w:t>
      </w:r>
    </w:p>
    <w:p w14:paraId="081BDD5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不予采纳，原因为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表述过于具体，本办法作为责任追究专项制度，对“离职”的界定应保持原则性，不宜过度细化批准程序和从重情节认定标准，实际执行中由企业按照干部管理权限和相关制度把握。</w:t>
      </w:r>
    </w:p>
    <w:p w14:paraId="04BC1B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9.法律顾问建议第78条“申诉期为一个月”修改为“30日”。</w:t>
      </w:r>
    </w:p>
    <w:p w14:paraId="4F6F988C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不予采纳，原因为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lang w:val="en-US" w:eastAsia="zh-CN" w:bidi="ar-SA"/>
        </w:rPr>
        <w:t>“一个月”与“30日”在实际执行中可能因月份天数不同产生认定差异，采用“一个月”的表述与《中华人民共和国监察法》及《国有企业管理人员处分条例》中关于申诉期限的规定保持一致，有利于统一执行口径，避免因跨月份计算导致的歧义，故维持原表述不变。</w:t>
      </w:r>
    </w:p>
    <w:p w14:paraId="32444325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lang w:val="en-US" w:eastAsia="zh-CN" w:bidi="ar-SA"/>
        </w:rPr>
        <w:t>10.法律顾问建议第84条增加“涉及国家秘密、商业秘密和个人隐私的除外”。</w:t>
      </w:r>
    </w:p>
    <w:p w14:paraId="69CDA286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不予采纳，原因为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lang w:val="en-US" w:eastAsia="zh-CN" w:bidi="ar-SA"/>
        </w:rPr>
        <w:t>该条前提为“按照国家有关信息公开规定”，即已对涉及国家秘密、商业秘密和个人隐私的内容作出明确的除外安排。本办法无需在条文中重复列举，实际执行中按照上位规定把握即可，故维持原条文表述不变。</w:t>
      </w:r>
      <mc:AlternateContent>
        <mc:Choice Requires="wpsCustomData">
          <wpsCustomData:docfieldEnd id="0"/>
        </mc:Choice>
      </mc:AlternateContent>
    </w:p>
    <w:sectPr>
      <w:pgSz w:w="11906" w:h="16838"/>
      <w:pgMar w:top="1871" w:right="1474" w:bottom="181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F65A39-92F5-4F81-8030-8600FDEBA9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392A5E6-C794-441E-8DE5-0D8544274A1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8354434-FED2-4EB5-AD96-BD4ECAB2001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26FCD93-5DD4-4E61-AE22-3FDC433646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EE18FC"/>
    <w:rsid w:val="03DA1D8E"/>
    <w:rsid w:val="1CEE18FC"/>
    <w:rsid w:val="21BD2EA3"/>
    <w:rsid w:val="23B52D23"/>
    <w:rsid w:val="27497279"/>
    <w:rsid w:val="27675BE3"/>
    <w:rsid w:val="2AC26268"/>
    <w:rsid w:val="2C4E24AB"/>
    <w:rsid w:val="34D216C5"/>
    <w:rsid w:val="376F736B"/>
    <w:rsid w:val="3AC918AC"/>
    <w:rsid w:val="478B4749"/>
    <w:rsid w:val="55C54A10"/>
    <w:rsid w:val="5BF9215A"/>
    <w:rsid w:val="5FFE63DD"/>
    <w:rsid w:val="6FA86E56"/>
    <w:rsid w:val="7DB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9"/>
    <w:pPr>
      <w:keepNext/>
      <w:keepLines/>
      <w:spacing w:before="480" w:after="80"/>
      <w:outlineLvl w:val="0"/>
    </w:pPr>
    <w:rPr>
      <w:rFonts w:ascii="Cambria" w:hAnsi="Cambria" w:eastAsia="方正楷体简体" w:cs="Times New Roman"/>
      <w:color w:val="000000"/>
      <w:sz w:val="36"/>
      <w:szCs w:val="48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30" w:beforeLines="30" w:after="30" w:afterLines="30" w:line="360" w:lineRule="auto"/>
      <w:ind w:firstLine="803" w:firstLineChars="200"/>
      <w:jc w:val="left"/>
      <w:outlineLvl w:val="2"/>
    </w:pPr>
    <w:rPr>
      <w:rFonts w:ascii="宋体" w:hAnsi="宋体"/>
      <w:b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9">
    <w:name w:val="标题 1 Char"/>
    <w:link w:val="3"/>
    <w:qFormat/>
    <w:uiPriority w:val="9"/>
    <w:rPr>
      <w:rFonts w:ascii="Cambria" w:hAnsi="Cambria" w:eastAsia="方正楷体简体" w:cs="Times New Roman"/>
      <w:color w:val="000000"/>
      <w:sz w:val="36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52bd30ab-2c52-4e03-9108-16cec8fe41fb</errorID>
      <errorWord>免职</errorWord>
      <group>L1_Word</group>
      <groupName>字词问题</groupName>
      <ability>L2_Typo</ability>
      <abilityName>字词错误</abilityName>
      <candidateList>
        <item>免去</item>
      </candidateList>
      <explain/>
      <paraID>5F5AEFF7</paraID>
      <start>118</start>
      <end>120</end>
      <status>modified</status>
      <modifiedWord>免去</modifiedWord>
      <trackRevisions>false</trackRevisions>
    </reviewItem>
    <reviewItem>
      <errorID>0ba912b2-350d-4bba-83ea-f85128df501a</errorID>
      <errorWord>，</errorWord>
      <group>L1_Grammar</group>
      <groupName>语法问题</groupName>
      <ability>L2_Grammar</ability>
      <abilityName>语法错误</abilityName>
      <candidateList>
        <item>职务，</item>
      </candidateList>
      <explain/>
      <paraID>5F5AEFF7</paraID>
      <start>124</start>
      <end>127</end>
      <status>modified</status>
      <modifiedWord>职务，</modifiedWord>
      <trackRevisions>false</trackRevisions>
    </reviewItem>
    <reviewItem>
      <errorID>033f9f1e-9414-4157-85ab-6262883a880c</errorID>
      <errorWord>免职</errorWord>
      <group>L1_Word</group>
      <groupName>字词问题</groupName>
      <ability>L2_Typo</ability>
      <abilityName>字词错误</abilityName>
      <candidateList>
        <item>免去</item>
      </candidateList>
      <explain/>
      <paraID>5F5AEFF7</paraID>
      <start>136</start>
      <end>138</end>
      <status>modified</status>
      <modifiedWord>免去</modifiedWord>
      <trackRevisions>false</trackRevisions>
    </reviewItem>
    <reviewItem>
      <errorID>ec370ed3-a937-485b-b1d5-1763dd89d30a</errorID>
      <errorWord>但</errorWord>
      <group>L1_Grammar</group>
      <groupName>语法问题</groupName>
      <ability>L2_Grammar</ability>
      <abilityName>语法错误</abilityName>
      <candidateList>
        <item>职务但</item>
      </candidateList>
      <explain/>
      <paraID>5F5AEFF7</paraID>
      <start>142</start>
      <end>145</end>
      <status>modified</status>
      <modifiedWord>职务但</modifiedWord>
      <trackRevisions>false</trackRevisions>
    </reviewItem>
    <reviewItem>
      <errorID>d3cea01d-cad4-4b50-88f1-1216748398dd</errorID>
      <errorWord>，</errorWord>
      <group>L1_Grammar</group>
      <groupName>语法问题</groupName>
      <ability>L2_Grammar</ability>
      <abilityName>语法错误</abilityName>
      <candidateList>
        <item>规定，</item>
      </candidateList>
      <explain/>
      <paraID>7498D9C1</paraID>
      <start>14</start>
      <end>17</end>
      <status>modified</status>
      <modifiedWord>规定，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58d5be4-1932-443b-97a2-fc0ca918a8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2064</Words>
  <Characters>2128</Characters>
  <Lines>0</Lines>
  <Paragraphs>0</Paragraphs>
  <TotalTime>1</TotalTime>
  <ScaleCrop>false</ScaleCrop>
  <LinksUpToDate>false</LinksUpToDate>
  <CharactersWithSpaces>2128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2026-10-10T08:40:00Z</dcterms:created>
  <dc:creator>"巴黎不美</dc:creator>
  <cp:lastModifiedBy>"巴黎不美</cp:lastModifiedBy>
  <cp:lastPrinted>2026-10-27T10:17:00Z</cp:lastPrinted>
  <dcterms:modified xsi:type="dcterms:W3CDTF">2026-11-02T04:46:27Z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F4A442ABE6014E298CE91FA07542B59B_11</vt:lpwstr>
  </property>
  <property fmtid="{D5CDD505-2E9C-101B-9397-08002B2CF9AE}" pid="4" name="KSOTemplateDocerSaveRecord">
    <vt:lpwstr>eyJoZGlkIjoiMWRhNWE4NmQ3NDI5MTUxMWZhMTFiMmNhNWZmMzE1ODQiLCJ1c2VySWQiOiI0Mjg3MDQxMjgifQ==</vt:lpwstr>
  </property>
</Properties>
</file>