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98678">
      <w:pPr>
        <w:spacing w:line="560" w:lineRule="exact"/>
        <w:contextualSpacing/>
        <w:jc w:val="center"/>
        <w:outlineLvl w:val="0"/>
        <w:rPr>
          <w:rFonts w:ascii="Times New Roman" w:hAnsi="Times New Roman" w:eastAsia="方正小标宋简体" w:cs="Times New Roman"/>
          <w:sz w:val="44"/>
          <w:szCs w:val="44"/>
        </w:rPr>
      </w:pPr>
      <w:bookmarkStart w:id="0" w:name="heading_0"/>
      <w:r>
        <w:rPr>
          <w:rFonts w:ascii="Times New Roman" w:hAnsi="Times New Roman" w:eastAsia="方正小标宋简体" w:cs="Times New Roman"/>
          <w:sz w:val="44"/>
          <w:szCs w:val="44"/>
        </w:rPr>
        <w:t>伊犁州直长期护理保险制度实施细则</w:t>
      </w:r>
      <w:bookmarkEnd w:id="0"/>
    </w:p>
    <w:p w14:paraId="4CEB92BA">
      <w:pPr>
        <w:spacing w:line="560" w:lineRule="exact"/>
        <w:contextualSpacing/>
        <w:jc w:val="center"/>
        <w:outlineLvl w:val="0"/>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w:t>
      </w:r>
      <w:r>
        <w:rPr>
          <w:rFonts w:hint="eastAsia" w:ascii="Times New Roman" w:hAnsi="Times New Roman" w:eastAsia="方正小标宋简体" w:cs="Times New Roman"/>
          <w:sz w:val="44"/>
          <w:szCs w:val="44"/>
          <w:lang w:val="en-US" w:eastAsia="zh-CN"/>
        </w:rPr>
        <w:t>征求意见稿</w:t>
      </w:r>
      <w:r>
        <w:rPr>
          <w:rFonts w:hint="eastAsia" w:ascii="Times New Roman" w:hAnsi="Times New Roman" w:eastAsia="方正小标宋简体" w:cs="Times New Roman"/>
          <w:sz w:val="44"/>
          <w:szCs w:val="44"/>
          <w:lang w:eastAsia="zh-CN"/>
        </w:rPr>
        <w:t>）</w:t>
      </w:r>
    </w:p>
    <w:p w14:paraId="07472E2E">
      <w:pPr>
        <w:spacing w:line="560" w:lineRule="exact"/>
        <w:ind w:firstLine="643" w:firstLineChars="200"/>
        <w:contextualSpacing/>
        <w:outlineLvl w:val="1"/>
        <w:rPr>
          <w:rFonts w:ascii="Times New Roman" w:hAnsi="Times New Roman" w:eastAsia="仿宋_GB2312" w:cs="Times New Roman"/>
          <w:b/>
          <w:sz w:val="32"/>
          <w:szCs w:val="32"/>
        </w:rPr>
      </w:pPr>
      <w:bookmarkStart w:id="1" w:name="heading_1"/>
    </w:p>
    <w:p w14:paraId="22F07B94">
      <w:pPr>
        <w:spacing w:line="560" w:lineRule="exact"/>
        <w:contextualSpacing/>
        <w:jc w:val="center"/>
        <w:outlineLvl w:val="1"/>
        <w:rPr>
          <w:rFonts w:ascii="Times New Roman" w:hAnsi="Times New Roman" w:eastAsia="仿宋_GB2312" w:cs="Times New Roman"/>
          <w:sz w:val="32"/>
          <w:szCs w:val="32"/>
        </w:rPr>
      </w:pPr>
      <w:r>
        <w:rPr>
          <w:rFonts w:ascii="Times New Roman" w:hAnsi="Times New Roman" w:eastAsia="仿宋_GB2312" w:cs="Times New Roman"/>
          <w:b/>
          <w:sz w:val="32"/>
          <w:szCs w:val="32"/>
        </w:rPr>
        <w:t>第一章</w:t>
      </w:r>
      <w:bookmarkEnd w:id="1"/>
      <w:r>
        <w:rPr>
          <w:rFonts w:ascii="Times New Roman" w:hAnsi="Times New Roman" w:eastAsia="仿宋_GB2312" w:cs="Times New Roman"/>
          <w:b/>
          <w:sz w:val="32"/>
          <w:szCs w:val="32"/>
        </w:rPr>
        <w:t xml:space="preserve"> 总则</w:t>
      </w:r>
    </w:p>
    <w:p w14:paraId="2C7CEDF6">
      <w:pPr>
        <w:spacing w:line="560" w:lineRule="exact"/>
        <w:ind w:firstLine="643" w:firstLineChars="200"/>
        <w:contextualSpacing/>
        <w:outlineLvl w:val="1"/>
        <w:rPr>
          <w:rFonts w:ascii="Times New Roman" w:hAnsi="Times New Roman" w:eastAsia="仿宋_GB2312" w:cs="Times New Roman"/>
          <w:sz w:val="32"/>
          <w:szCs w:val="32"/>
        </w:rPr>
      </w:pPr>
      <w:bookmarkStart w:id="2" w:name="heading_2"/>
      <w:r>
        <w:rPr>
          <w:rFonts w:ascii="Times New Roman" w:hAnsi="Times New Roman" w:eastAsia="仿宋_GB2312" w:cs="Times New Roman"/>
          <w:b/>
          <w:sz w:val="32"/>
          <w:szCs w:val="32"/>
        </w:rPr>
        <w:t>第一条</w:t>
      </w:r>
      <w:r>
        <w:rPr>
          <w:rFonts w:hint="eastAsia" w:ascii="Times New Roman" w:hAnsi="Times New Roman" w:eastAsia="仿宋_GB2312" w:cs="Times New Roman"/>
          <w:b/>
          <w:sz w:val="32"/>
          <w:szCs w:val="32"/>
        </w:rPr>
        <w:t xml:space="preserve"> </w:t>
      </w:r>
      <w:r>
        <w:rPr>
          <w:rFonts w:ascii="Times New Roman" w:hAnsi="Times New Roman" w:eastAsia="仿宋_GB2312" w:cs="Times New Roman"/>
          <w:sz w:val="32"/>
          <w:szCs w:val="32"/>
        </w:rPr>
        <w:t>坚持以习近平新时代中国特色社会主义思想为指导，深入贯彻党的二十大和二十届历次全会精神，深入学习贯彻习近平总书记关于新疆工作的重要讲话重要指示批示精神，完整准确全面贯彻新发展理念和新时代党的治疆方略，牢牢扭住社会稳定和长治久安工作总目标，以铸牢中华民族共同体意识为主线，锚定党中央赋予新疆的“五大战略定位”，探索建立与州直经济社会发展相协调的覆盖全民、统筹城乡、公平统一、安全规范、可持续的长期护理保险制度，更好满足失能人员长期护理基本保障需求。根据《中共中央办公厅 国务院办公厅关于加快建立长期护理保险制度的意见》（厅字〔2025〕19 号）、《新疆维吾尔自治区建立长期护理保险制度实施方案》（新政办发〔2026〕39号）等文件精神，结合州直实际，制定本实施细则。</w:t>
      </w:r>
    </w:p>
    <w:p w14:paraId="62977BBD">
      <w:pPr>
        <w:spacing w:line="560" w:lineRule="exact"/>
        <w:ind w:firstLine="643" w:firstLineChars="200"/>
        <w:contextualSpacing/>
        <w:outlineLvl w:val="1"/>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第二条 </w:t>
      </w:r>
      <w:r>
        <w:rPr>
          <w:rFonts w:ascii="Times New Roman" w:hAnsi="Times New Roman" w:eastAsia="仿宋_GB2312" w:cs="Times New Roman"/>
          <w:sz w:val="32"/>
          <w:szCs w:val="32"/>
        </w:rPr>
        <w:t>本细则所称长期护理保险（以下简称“长护险”）制度，是指为失能人员的基本生活照料和与之密切相关的医疗护理提供服务或资金保障的社会保险制度。</w:t>
      </w:r>
    </w:p>
    <w:p w14:paraId="4FA6E9D2">
      <w:pPr>
        <w:spacing w:line="560" w:lineRule="exact"/>
        <w:ind w:firstLine="643" w:firstLineChars="200"/>
        <w:contextualSpacing/>
        <w:outlineLvl w:val="1"/>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第三条 </w:t>
      </w:r>
      <w:r>
        <w:rPr>
          <w:rFonts w:ascii="Times New Roman" w:hAnsi="Times New Roman" w:eastAsia="仿宋_GB2312" w:cs="Times New Roman"/>
          <w:sz w:val="32"/>
          <w:szCs w:val="32"/>
        </w:rPr>
        <w:t>长护险实行州级统筹管理，统一参保范围、筹资标准、待遇水平、失能等级评估、经办服务、基金监管和信息化建设。</w:t>
      </w:r>
    </w:p>
    <w:p w14:paraId="3908DD49">
      <w:pPr>
        <w:spacing w:line="560" w:lineRule="exact"/>
        <w:ind w:firstLine="643" w:firstLineChars="200"/>
        <w:contextualSpacing/>
        <w:rPr>
          <w:rFonts w:ascii="Times New Roman" w:hAnsi="Times New Roman" w:eastAsia="仿宋_GB2312" w:cs="Times New Roman"/>
          <w:kern w:val="2"/>
          <w:sz w:val="32"/>
          <w:szCs w:val="32"/>
        </w:rPr>
      </w:pPr>
      <w:r>
        <w:rPr>
          <w:rFonts w:ascii="Times New Roman" w:hAnsi="Times New Roman" w:eastAsia="仿宋_GB2312" w:cs="Times New Roman"/>
          <w:b/>
          <w:kern w:val="2"/>
          <w:sz w:val="32"/>
          <w:szCs w:val="32"/>
        </w:rPr>
        <w:t>第</w:t>
      </w:r>
      <w:r>
        <w:rPr>
          <w:rFonts w:hint="eastAsia" w:ascii="Times New Roman" w:hAnsi="Times New Roman" w:eastAsia="仿宋_GB2312" w:cs="Times New Roman"/>
          <w:b/>
          <w:kern w:val="2"/>
          <w:sz w:val="32"/>
          <w:szCs w:val="32"/>
        </w:rPr>
        <w:t>四</w:t>
      </w:r>
      <w:r>
        <w:rPr>
          <w:rFonts w:ascii="Times New Roman" w:hAnsi="Times New Roman" w:eastAsia="仿宋_GB2312" w:cs="Times New Roman"/>
          <w:b/>
          <w:kern w:val="2"/>
          <w:sz w:val="32"/>
          <w:szCs w:val="32"/>
        </w:rPr>
        <w:t xml:space="preserve">条 </w:t>
      </w:r>
      <w:r>
        <w:rPr>
          <w:rFonts w:ascii="Times New Roman" w:hAnsi="Times New Roman" w:eastAsia="仿宋_GB2312" w:cs="Times New Roman"/>
          <w:kern w:val="2"/>
          <w:sz w:val="32"/>
          <w:szCs w:val="32"/>
        </w:rPr>
        <w:t>根据自治区统一部署，分阶段推进参保工作。2026年，长护险覆盖州直职工医保参保人群；2027年，将州直城乡居民医保参保人群纳入保障范围。</w:t>
      </w:r>
    </w:p>
    <w:p w14:paraId="299D3C55">
      <w:pPr>
        <w:spacing w:line="560" w:lineRule="exact"/>
        <w:ind w:firstLine="643" w:firstLineChars="200"/>
        <w:contextualSpacing/>
        <w:outlineLvl w:val="1"/>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五</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长护险筹资标准、待遇支付水平，根据经济社会发展、基金收支结余情况，按照自治区统一部署适时调整。</w:t>
      </w:r>
    </w:p>
    <w:p w14:paraId="5237BF47">
      <w:pPr>
        <w:spacing w:line="560" w:lineRule="exact"/>
        <w:contextualSpacing/>
        <w:jc w:val="center"/>
        <w:outlineLvl w:val="1"/>
        <w:rPr>
          <w:rFonts w:ascii="Times New Roman" w:hAnsi="Times New Roman" w:eastAsia="仿宋_GB2312" w:cs="Times New Roman"/>
          <w:sz w:val="32"/>
          <w:szCs w:val="32"/>
        </w:rPr>
      </w:pPr>
      <w:r>
        <w:rPr>
          <w:rFonts w:ascii="Times New Roman" w:hAnsi="Times New Roman" w:eastAsia="仿宋_GB2312" w:cs="Times New Roman"/>
          <w:b/>
          <w:sz w:val="32"/>
          <w:szCs w:val="32"/>
        </w:rPr>
        <w:t>第二章 筹资机制</w:t>
      </w:r>
      <w:bookmarkEnd w:id="2"/>
    </w:p>
    <w:p w14:paraId="7F147D3F">
      <w:pPr>
        <w:spacing w:line="560" w:lineRule="exact"/>
        <w:ind w:firstLine="643" w:firstLineChars="200"/>
        <w:contextualSpacing/>
        <w:rPr>
          <w:rFonts w:ascii="Times New Roman" w:hAnsi="Times New Roman" w:eastAsia="仿宋_GB2312" w:cs="Times New Roman"/>
          <w:kern w:val="2"/>
          <w:sz w:val="32"/>
          <w:szCs w:val="32"/>
        </w:rPr>
      </w:pPr>
      <w:bookmarkStart w:id="3" w:name="heading_3"/>
      <w:r>
        <w:rPr>
          <w:rFonts w:ascii="Times New Roman" w:hAnsi="Times New Roman" w:eastAsia="仿宋_GB2312" w:cs="Times New Roman"/>
          <w:b/>
          <w:kern w:val="2"/>
          <w:sz w:val="32"/>
          <w:szCs w:val="32"/>
        </w:rPr>
        <w:t>第</w:t>
      </w:r>
      <w:r>
        <w:rPr>
          <w:rFonts w:hint="eastAsia" w:ascii="Times New Roman" w:hAnsi="Times New Roman" w:eastAsia="仿宋_GB2312" w:cs="Times New Roman"/>
          <w:b/>
          <w:kern w:val="2"/>
          <w:sz w:val="32"/>
          <w:szCs w:val="32"/>
        </w:rPr>
        <w:t>六</w:t>
      </w:r>
      <w:r>
        <w:rPr>
          <w:rFonts w:ascii="Times New Roman" w:hAnsi="Times New Roman" w:eastAsia="仿宋_GB2312" w:cs="Times New Roman"/>
          <w:b/>
          <w:kern w:val="2"/>
          <w:sz w:val="32"/>
          <w:szCs w:val="32"/>
        </w:rPr>
        <w:t xml:space="preserve">条 </w:t>
      </w:r>
      <w:r>
        <w:rPr>
          <w:rFonts w:ascii="Times New Roman" w:hAnsi="Times New Roman" w:eastAsia="仿宋_GB2312" w:cs="Times New Roman"/>
          <w:kern w:val="2"/>
          <w:sz w:val="32"/>
          <w:szCs w:val="32"/>
        </w:rPr>
        <w:t>参保对象</w:t>
      </w:r>
      <w:r>
        <w:rPr>
          <w:rFonts w:hint="eastAsia" w:ascii="Times New Roman" w:hAnsi="Times New Roman" w:eastAsia="仿宋_GB2312" w:cs="Times New Roman"/>
          <w:kern w:val="2"/>
          <w:sz w:val="32"/>
          <w:szCs w:val="32"/>
        </w:rPr>
        <w:t>为</w:t>
      </w:r>
      <w:r>
        <w:rPr>
          <w:rFonts w:ascii="Times New Roman" w:hAnsi="Times New Roman" w:eastAsia="仿宋_GB2312" w:cs="Times New Roman"/>
          <w:kern w:val="2"/>
          <w:sz w:val="32"/>
          <w:szCs w:val="32"/>
        </w:rPr>
        <w:t>所有用人单位（包括企业、事业单位、机关、社会组织等）以及单位职工、退休人员、灵活就业人员和未就业城乡居民等</w:t>
      </w:r>
      <w:r>
        <w:rPr>
          <w:rFonts w:hint="eastAsia" w:ascii="Times New Roman" w:hAnsi="Times New Roman" w:eastAsia="仿宋_GB2312" w:cs="Times New Roman"/>
          <w:kern w:val="2"/>
          <w:sz w:val="32"/>
          <w:szCs w:val="32"/>
        </w:rPr>
        <w:t>，</w:t>
      </w:r>
      <w:r>
        <w:rPr>
          <w:rFonts w:ascii="Times New Roman" w:hAnsi="Times New Roman" w:eastAsia="仿宋_GB2312" w:cs="Times New Roman"/>
          <w:kern w:val="2"/>
          <w:sz w:val="32"/>
          <w:szCs w:val="32"/>
        </w:rPr>
        <w:t>按照属地管理原则，参加长护险。</w:t>
      </w:r>
    </w:p>
    <w:p w14:paraId="11D25821">
      <w:pPr>
        <w:spacing w:line="560" w:lineRule="exact"/>
        <w:ind w:firstLine="643" w:firstLineChars="200"/>
        <w:contextualSpacing/>
        <w:rPr>
          <w:rFonts w:ascii="Times New Roman" w:hAnsi="Times New Roman" w:eastAsia="仿宋_GB2312" w:cs="Times New Roman"/>
          <w:b/>
          <w:sz w:val="32"/>
          <w:szCs w:val="32"/>
        </w:rPr>
      </w:pPr>
      <w:r>
        <w:rPr>
          <w:rFonts w:ascii="Times New Roman" w:hAnsi="Times New Roman" w:eastAsia="仿宋_GB2312" w:cs="Times New Roman"/>
          <w:b/>
          <w:sz w:val="32"/>
          <w:szCs w:val="32"/>
        </w:rPr>
        <w:t xml:space="preserve">第七条 </w:t>
      </w:r>
      <w:r>
        <w:rPr>
          <w:rFonts w:ascii="Times New Roman" w:hAnsi="Times New Roman" w:eastAsia="仿宋_GB2312" w:cs="Times New Roman"/>
          <w:sz w:val="32"/>
          <w:szCs w:val="32"/>
        </w:rPr>
        <w:t>落实国家长护险基准费率制度，长护险费率统一为0.3%，根据基准费率变化动态调整。按照“以收定支、收支平衡”的原则，建立长护险基金。落实各方筹资分担责任，</w:t>
      </w:r>
      <w:r>
        <w:rPr>
          <w:rFonts w:hint="eastAsia" w:ascii="Times New Roman" w:hAnsi="Times New Roman" w:eastAsia="仿宋_GB2312" w:cs="Times New Roman"/>
          <w:sz w:val="32"/>
          <w:szCs w:val="32"/>
        </w:rPr>
        <w:t>健全</w:t>
      </w:r>
      <w:r>
        <w:rPr>
          <w:rFonts w:ascii="Times New Roman" w:hAnsi="Times New Roman" w:eastAsia="仿宋_GB2312" w:cs="Times New Roman"/>
          <w:sz w:val="32"/>
          <w:szCs w:val="32"/>
        </w:rPr>
        <w:t>单位、个人、政府、社会等多元筹资</w:t>
      </w:r>
      <w:r>
        <w:rPr>
          <w:rFonts w:hint="eastAsia" w:ascii="Times New Roman" w:hAnsi="Times New Roman" w:eastAsia="仿宋_GB2312" w:cs="Times New Roman"/>
          <w:sz w:val="32"/>
          <w:szCs w:val="32"/>
        </w:rPr>
        <w:t>渠道</w:t>
      </w:r>
      <w:r>
        <w:rPr>
          <w:rFonts w:ascii="Times New Roman" w:hAnsi="Times New Roman" w:eastAsia="仿宋_GB2312" w:cs="Times New Roman"/>
          <w:sz w:val="32"/>
          <w:szCs w:val="32"/>
        </w:rPr>
        <w:t>。</w:t>
      </w:r>
    </w:p>
    <w:p w14:paraId="5E3996F4">
      <w:pPr>
        <w:spacing w:line="560" w:lineRule="exact"/>
        <w:ind w:firstLine="640" w:firstLineChars="200"/>
        <w:contextualSpacing/>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长护险保费与基本医疗保险</w:t>
      </w:r>
      <w:r>
        <w:rPr>
          <w:rFonts w:hint="eastAsia" w:ascii="Times New Roman" w:hAnsi="Times New Roman" w:eastAsia="仿宋_GB2312" w:cs="Times New Roman"/>
          <w:kern w:val="2"/>
          <w:sz w:val="32"/>
          <w:szCs w:val="32"/>
        </w:rPr>
        <w:t>同步参保、</w:t>
      </w:r>
      <w:r>
        <w:rPr>
          <w:rFonts w:ascii="Times New Roman" w:hAnsi="Times New Roman" w:eastAsia="仿宋_GB2312" w:cs="Times New Roman"/>
          <w:kern w:val="2"/>
          <w:sz w:val="32"/>
          <w:szCs w:val="32"/>
        </w:rPr>
        <w:t>同步缴费，具体标准如下：</w:t>
      </w:r>
    </w:p>
    <w:p w14:paraId="4822317E">
      <w:pPr>
        <w:spacing w:line="560" w:lineRule="exact"/>
        <w:ind w:firstLine="640" w:firstLineChars="200"/>
        <w:contextualSpacing/>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1.在职职工长护险费率为0.3%，由用人单位和个人各按0.15%的比例</w:t>
      </w:r>
      <w:r>
        <w:rPr>
          <w:rFonts w:hint="eastAsia" w:ascii="Times New Roman" w:hAnsi="Times New Roman" w:eastAsia="仿宋_GB2312" w:cs="Times New Roman"/>
          <w:kern w:val="2"/>
          <w:sz w:val="32"/>
          <w:szCs w:val="32"/>
        </w:rPr>
        <w:t>分担</w:t>
      </w:r>
      <w:r>
        <w:rPr>
          <w:rFonts w:ascii="Times New Roman" w:hAnsi="Times New Roman" w:eastAsia="仿宋_GB2312" w:cs="Times New Roman"/>
          <w:kern w:val="2"/>
          <w:sz w:val="32"/>
          <w:szCs w:val="32"/>
        </w:rPr>
        <w:t>，实行按月缴费。用人单位缴费基数为职工工资总额，个人缴费基数为本人工资收入</w:t>
      </w:r>
      <w:r>
        <w:rPr>
          <w:rFonts w:hint="eastAsia" w:ascii="Times New Roman" w:hAnsi="Times New Roman" w:eastAsia="仿宋_GB2312" w:cs="Times New Roman"/>
          <w:kern w:val="2"/>
          <w:sz w:val="32"/>
          <w:szCs w:val="32"/>
        </w:rPr>
        <w:t>，由用人单位和个人共同缴费。</w:t>
      </w:r>
    </w:p>
    <w:p w14:paraId="267A6398">
      <w:pPr>
        <w:spacing w:line="560" w:lineRule="exact"/>
        <w:ind w:firstLine="640" w:firstLineChars="200"/>
        <w:contextualSpacing/>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建制当年，在充分测算评估后，在确保调整后职工基本医疗保险统筹基金累计结余可支付月数不少于12个月且不出现当期赤字的基础上，可将职工基本医疗保险单位缴费率降低0.15个百分点，调整部分用作长护险单位缴费率。</w:t>
      </w:r>
    </w:p>
    <w:p w14:paraId="6382FAD8">
      <w:pPr>
        <w:spacing w:line="560" w:lineRule="exact"/>
        <w:ind w:firstLine="640" w:firstLineChars="200"/>
        <w:contextualSpacing/>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2.退休人员缴费费率为0.15%，缴费基数为本人基本养老金，按月从其职工医保个人账户中扣缴，原用人单位不缴费。</w:t>
      </w:r>
    </w:p>
    <w:p w14:paraId="2AF73002">
      <w:pPr>
        <w:spacing w:line="560" w:lineRule="exact"/>
        <w:ind w:firstLine="640" w:firstLineChars="200"/>
        <w:contextualSpacing/>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3.灵活就业人员按单位职工医保参保，费率0.3%，缴费基数为自治区上年度社会平均工资的60%，由个人按规定缴费；灵活就业人员也可选择按未就业城乡居民政策参保缴费。</w:t>
      </w:r>
      <w:r>
        <w:rPr>
          <w:rFonts w:hint="eastAsia" w:ascii="Times New Roman" w:hAnsi="Times New Roman" w:eastAsia="仿宋_GB2312" w:cs="Times New Roman"/>
          <w:kern w:val="2"/>
          <w:sz w:val="32"/>
          <w:szCs w:val="32"/>
        </w:rPr>
        <w:t>失业人员参加长护险，按照职工参保政策参保缴费，费率为0.3%。</w:t>
      </w:r>
    </w:p>
    <w:p w14:paraId="08E14C29">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4.未就业城乡居民费率从0.15%起步，之后每年增长0.05个百分点，至2030年达到0.3%，按年度缴费，缴费基数为自治区上年度</w:t>
      </w:r>
      <w:r>
        <w:rPr>
          <w:rFonts w:hint="eastAsia" w:ascii="Times New Roman" w:hAnsi="Times New Roman" w:eastAsia="仿宋_GB2312" w:cs="Times New Roman"/>
          <w:sz w:val="32"/>
          <w:szCs w:val="32"/>
        </w:rPr>
        <w:t>城乡</w:t>
      </w:r>
      <w:r>
        <w:rPr>
          <w:rFonts w:ascii="Times New Roman" w:hAnsi="Times New Roman" w:eastAsia="仿宋_GB2312" w:cs="Times New Roman"/>
          <w:sz w:val="32"/>
          <w:szCs w:val="32"/>
        </w:rPr>
        <w:t>居民人均可支配收入, 由个人和政府按同比例分担，政府承担部分由各级财政预算安排，县（市）应按规定及时将本级财政补助资金拨入州级财政专户。</w:t>
      </w:r>
    </w:p>
    <w:p w14:paraId="662335DC">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18周岁以下人员在参加基本医疗保险的基础上跟随父母或其他法定抚养人等参保，不单独筹资，孤儿等特殊群体无法跟从参保的，可视同参保，符合待遇享受条件的按未就业城乡居民待遇标准享受待遇。符合条件的困难人群个人缴费部分由政府按规定予以分类资助。</w:t>
      </w:r>
    </w:p>
    <w:p w14:paraId="1873717D">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职工基本医疗保险个人账户可以用于本人及近亲属（包括配偶、父母、子女、兄弟姐妹、祖父母、外祖父母、孙子女、外孙子女）参加长护险的个人缴费。</w:t>
      </w:r>
    </w:p>
    <w:p w14:paraId="7EA008D9">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第八条 </w:t>
      </w:r>
      <w:r>
        <w:rPr>
          <w:rFonts w:ascii="Times New Roman" w:hAnsi="Times New Roman" w:eastAsia="仿宋_GB2312" w:cs="Times New Roman"/>
          <w:sz w:val="32"/>
          <w:szCs w:val="32"/>
        </w:rPr>
        <w:t>长护险保费退费和不予退费的具体情形按照基本医疗保险相关规定执行。参保人按规定补缴基本医疗保险费时，其应缴未缴的长护险保费应同步补缴，补缴起始时间不早于长护险启动时间。</w:t>
      </w:r>
    </w:p>
    <w:p w14:paraId="69B1D15A">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第九条</w:t>
      </w:r>
      <w:r>
        <w:rPr>
          <w:rFonts w:ascii="Times New Roman" w:hAnsi="Times New Roman" w:eastAsia="仿宋_GB2312" w:cs="Times New Roman"/>
          <w:sz w:val="32"/>
          <w:szCs w:val="32"/>
        </w:rPr>
        <w:t xml:space="preserve"> 自然人、法人或其他组织对长护险基金捐赠的，捐赠资金纳入长护险基金财政专户管理。</w:t>
      </w:r>
    </w:p>
    <w:bookmarkEnd w:id="3"/>
    <w:p w14:paraId="3C7C7337">
      <w:pPr>
        <w:spacing w:line="560" w:lineRule="exact"/>
        <w:contextualSpacing/>
        <w:jc w:val="center"/>
        <w:outlineLvl w:val="1"/>
        <w:rPr>
          <w:rFonts w:ascii="Times New Roman" w:hAnsi="Times New Roman" w:eastAsia="仿宋_GB2312" w:cs="Times New Roman"/>
          <w:sz w:val="32"/>
          <w:szCs w:val="32"/>
        </w:rPr>
      </w:pPr>
      <w:bookmarkStart w:id="4" w:name="heading_10"/>
      <w:r>
        <w:rPr>
          <w:rFonts w:ascii="Times New Roman" w:hAnsi="Times New Roman" w:eastAsia="仿宋_GB2312" w:cs="Times New Roman"/>
          <w:b/>
          <w:sz w:val="32"/>
          <w:szCs w:val="32"/>
        </w:rPr>
        <w:t>第三章 待遇保障</w:t>
      </w:r>
      <w:bookmarkEnd w:id="4"/>
    </w:p>
    <w:p w14:paraId="73BE735A">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第十条 </w:t>
      </w:r>
      <w:r>
        <w:rPr>
          <w:rFonts w:ascii="Times New Roman" w:hAnsi="Times New Roman" w:eastAsia="仿宋_GB2312" w:cs="Times New Roman"/>
          <w:sz w:val="32"/>
          <w:szCs w:val="32"/>
        </w:rPr>
        <w:t>长护险起步阶段解决重度失能人员基本护理保障需求，按照国家、自治区统一安排部署，结合州直基金运行情况，逐步扩大待遇保障对象范围。</w:t>
      </w:r>
    </w:p>
    <w:p w14:paraId="2DD740BE">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第十一条</w:t>
      </w:r>
      <w:r>
        <w:rPr>
          <w:rFonts w:ascii="Times New Roman" w:hAnsi="Times New Roman" w:eastAsia="仿宋_GB2312" w:cs="Times New Roman"/>
          <w:sz w:val="32"/>
          <w:szCs w:val="32"/>
        </w:rPr>
        <w:t xml:space="preserve"> 参保人员按规定</w:t>
      </w:r>
      <w:r>
        <w:rPr>
          <w:rFonts w:hint="eastAsia" w:ascii="Times New Roman" w:hAnsi="Times New Roman" w:eastAsia="仿宋_GB2312" w:cs="Times New Roman"/>
          <w:sz w:val="32"/>
          <w:szCs w:val="32"/>
        </w:rPr>
        <w:t>参保缴费</w:t>
      </w:r>
      <w:r>
        <w:rPr>
          <w:rFonts w:ascii="Times New Roman" w:hAnsi="Times New Roman" w:eastAsia="仿宋_GB2312" w:cs="Times New Roman"/>
          <w:sz w:val="32"/>
          <w:szCs w:val="32"/>
        </w:rPr>
        <w:t>，因年老、疾病、伤残等原因造成失能状态长期持续6个月以上，经申请通过评估认定的失能人员，自评估结论送达次日起可按规定享受长护险待遇。</w:t>
      </w:r>
    </w:p>
    <w:p w14:paraId="66DFAC06">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第十二条</w:t>
      </w:r>
      <w:r>
        <w:rPr>
          <w:rFonts w:ascii="Times New Roman" w:hAnsi="Times New Roman" w:eastAsia="仿宋_GB2312" w:cs="Times New Roman"/>
          <w:sz w:val="32"/>
          <w:szCs w:val="32"/>
        </w:rPr>
        <w:t xml:space="preserve"> 基金主要用于支付符合规定的长护险服务机构和人员提供长期护理基本服务所发生的费用，原则上不直接向失能人员发放现金，长护险服务项目严格执行国家层面统一的长护险服务项目目录。</w:t>
      </w:r>
    </w:p>
    <w:p w14:paraId="3D736B14">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第十三条 </w:t>
      </w:r>
      <w:r>
        <w:rPr>
          <w:rFonts w:ascii="Times New Roman" w:hAnsi="Times New Roman" w:eastAsia="仿宋_GB2312" w:cs="Times New Roman"/>
          <w:sz w:val="32"/>
          <w:szCs w:val="32"/>
        </w:rPr>
        <w:t>长护险定点服务机构提供的长期护理服务类型主要为居家护理服务、社区护理服务和机构护理服务。失能参保人员可结合自身身体状况、照料需求自主选择一种服务方式，</w:t>
      </w:r>
      <w:r>
        <w:rPr>
          <w:rFonts w:hint="eastAsia" w:ascii="Times New Roman" w:hAnsi="Times New Roman" w:eastAsia="仿宋_GB2312" w:cs="Times New Roman"/>
          <w:sz w:val="32"/>
          <w:szCs w:val="32"/>
        </w:rPr>
        <w:t>并</w:t>
      </w:r>
      <w:r>
        <w:rPr>
          <w:rFonts w:ascii="Times New Roman" w:hAnsi="Times New Roman" w:eastAsia="仿宋_GB2312" w:cs="Times New Roman"/>
          <w:sz w:val="32"/>
          <w:szCs w:val="32"/>
        </w:rPr>
        <w:t>签订护理服务协议。</w:t>
      </w:r>
    </w:p>
    <w:p w14:paraId="54C69E7E">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长护险待遇享受不设起付标准。符合规定的长期护理服务费用，按未就业城乡居民参保的，基金支付比例为50%；按单位职工参保的，基金支付比例为70%，退休人员享受单位职工待遇。</w:t>
      </w:r>
    </w:p>
    <w:p w14:paraId="6112A0C1">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根据失能等级和服务方式实行梯度差异性待遇保障政策，重度失能Ⅲ级、Ⅱ级和Ⅰ级，最高支付限额逐级递减5%；居家护理服务、社区护理服务和机构护理服务，最高支付限额依次递减5%；基金年度最高支付限额不超过自治区上年度</w:t>
      </w:r>
      <w:r>
        <w:rPr>
          <w:rFonts w:hint="eastAsia" w:ascii="Times New Roman" w:hAnsi="Times New Roman" w:eastAsia="仿宋_GB2312" w:cs="Times New Roman"/>
          <w:sz w:val="32"/>
          <w:szCs w:val="32"/>
        </w:rPr>
        <w:t>城乡</w:t>
      </w:r>
      <w:r>
        <w:rPr>
          <w:rFonts w:ascii="Times New Roman" w:hAnsi="Times New Roman" w:eastAsia="仿宋_GB2312" w:cs="Times New Roman"/>
          <w:sz w:val="32"/>
          <w:szCs w:val="32"/>
        </w:rPr>
        <w:t>居民人均可支配收入的50%，实行动态调整。</w:t>
      </w:r>
    </w:p>
    <w:p w14:paraId="4EB9D4F0">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第十四条</w:t>
      </w:r>
      <w:r>
        <w:rPr>
          <w:rFonts w:ascii="Times New Roman" w:hAnsi="Times New Roman" w:eastAsia="仿宋_GB2312" w:cs="Times New Roman"/>
          <w:sz w:val="32"/>
          <w:szCs w:val="32"/>
        </w:rPr>
        <w:t xml:space="preserve"> 建立参保缴费时长与待遇水平相挂钩的连续参保激励和约束机制。</w:t>
      </w:r>
    </w:p>
    <w:p w14:paraId="4005D06F">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ascii="Times New Roman" w:hAnsi="Times New Roman" w:eastAsia="仿宋_GB2312" w:cs="Times New Roman"/>
          <w:spacing w:val="11"/>
          <w:kern w:val="21"/>
          <w:sz w:val="32"/>
          <w:szCs w:val="32"/>
        </w:rPr>
        <w:t>连续缴费满4年及以上的未就业城乡居民，享受长护险待遇的基金支付比例提高5%；断保后再次参保的，按新参保重新计算。</w:t>
      </w:r>
    </w:p>
    <w:p w14:paraId="41718761">
      <w:pPr>
        <w:numPr>
          <w:ilvl w:val="0"/>
          <w:numId w:val="1"/>
        </w:num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建立长护险参保约束机制，除新生儿、退役军人等特殊群体外，在制度启动时未参保缴费或未连续参保缴费的人员，设置固定等待期6个月。单位职工中断缴费超过3个月的，从足额补缴到账之月计算，设置6个月待遇等待期；未就业城乡居民每多断保1年，在固定等待期基础上增加变动等待期1个月，可通过缴费修复变动等待期，每多缴纳1年可修复1个月变动等待期。</w:t>
      </w:r>
    </w:p>
    <w:p w14:paraId="51FFE575">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（三）长护险转移接续参照基本医疗保险执行。</w:t>
      </w:r>
    </w:p>
    <w:p w14:paraId="77BBAD0D">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第十五条 </w:t>
      </w:r>
      <w:r>
        <w:rPr>
          <w:rFonts w:ascii="Times New Roman" w:hAnsi="Times New Roman" w:eastAsia="仿宋_GB2312" w:cs="Times New Roman"/>
          <w:sz w:val="32"/>
          <w:szCs w:val="32"/>
        </w:rPr>
        <w:t>参保人员在享受长护险待遇期间有以下情形的，按规定调整变更长护险待遇。</w:t>
      </w:r>
    </w:p>
    <w:p w14:paraId="5FE017E2">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一）参保人员已连续2年（含2年）以上参加长护险，因就业等个人状态变化在职工参保和未就业城乡居民参保间切换参保关系，且中断缴费3个月（含）以内的，可按转入地规定办理长期护理保险费补缴手续，享受相应长护险待遇。</w:t>
      </w:r>
    </w:p>
    <w:p w14:paraId="48FD41CB">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（二）失能人员经申请评估，变更失能等级的，从评估结论下达的次日起按照新的失能等级享受长护险待遇。</w:t>
      </w:r>
    </w:p>
    <w:p w14:paraId="0FE25490">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（三）失能人员护理方式发生变更的，从次日起按变更后的护理方式享受长护险待遇。</w:t>
      </w:r>
    </w:p>
    <w:p w14:paraId="0F5375FE">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（四）参保人员变更长护服务机构的，自变更后次日起在新的长护服务机构按规定享受长护险待遇。</w:t>
      </w:r>
    </w:p>
    <w:p w14:paraId="2770223D">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（五）失能人员死亡的，从死亡次日起终止长护险待遇。</w:t>
      </w:r>
    </w:p>
    <w:p w14:paraId="12E56F8F">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（六）已享受长护险待遇的失能人员，因病情需要住院治疗的，从参保人员住院治疗的当日起暂停长护险待遇，从出院当日起恢复原长护险待遇；</w:t>
      </w:r>
    </w:p>
    <w:p w14:paraId="3B1BE2F2">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（七）失能状态发生变化的，可重新申请评估。</w:t>
      </w:r>
    </w:p>
    <w:p w14:paraId="133E6F94">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第十六条 </w:t>
      </w:r>
      <w:r>
        <w:rPr>
          <w:rFonts w:ascii="Times New Roman" w:hAnsi="Times New Roman" w:eastAsia="仿宋_GB2312" w:cs="Times New Roman"/>
          <w:sz w:val="32"/>
          <w:szCs w:val="32"/>
        </w:rPr>
        <w:t>对机构床位费、膳食费等非护理服务费用以及应由医疗保险支付的医药费用，长护险基金不予支付。领取工伤保险生活护理费的参保人员，不重复享受长护险相关服务待遇。依法应由第三人承担的护理费用、在境外发生的护理费用、法律法规和政策规定的其他不予支付费用，基金不予支付。</w:t>
      </w:r>
    </w:p>
    <w:p w14:paraId="1CAD09E0">
      <w:pPr>
        <w:spacing w:line="560" w:lineRule="exact"/>
        <w:contextualSpacing/>
        <w:jc w:val="center"/>
        <w:outlineLvl w:val="2"/>
        <w:rPr>
          <w:rFonts w:ascii="Times New Roman" w:hAnsi="Times New Roman" w:eastAsia="仿宋_GB2312" w:cs="Times New Roman"/>
          <w:sz w:val="32"/>
          <w:szCs w:val="32"/>
        </w:rPr>
      </w:pPr>
      <w:bookmarkStart w:id="5" w:name="heading_16"/>
      <w:r>
        <w:rPr>
          <w:rFonts w:ascii="Times New Roman" w:hAnsi="Times New Roman" w:eastAsia="仿宋_GB2312" w:cs="Times New Roman"/>
          <w:b/>
          <w:sz w:val="32"/>
          <w:szCs w:val="32"/>
        </w:rPr>
        <w:t>第四章 部门职责</w:t>
      </w:r>
    </w:p>
    <w:p w14:paraId="28F73902">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第十七条 </w:t>
      </w:r>
      <w:r>
        <w:rPr>
          <w:rFonts w:ascii="Times New Roman" w:hAnsi="Times New Roman" w:eastAsia="仿宋_GB2312" w:cs="Times New Roman"/>
          <w:sz w:val="32"/>
          <w:szCs w:val="32"/>
        </w:rPr>
        <w:t>州人民政府统筹部署本细则落地执行，承担州直长护险政策制定、组织推进实施等工作职责。</w:t>
      </w:r>
    </w:p>
    <w:p w14:paraId="7B642F8C">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医疗保障部门：负责牵头制定州直长护险制度实施细则及配套制度，统筹推进州直长护险制度实施和管理等工作；协同民政、残联等部门，健全跨部门数据共享、评估结果互认机制，统筹做好长护险与困难失能老年人护理补贴、重度残疾人护理补贴等福利政策衔接；指导长护服务机构开展用工需求、学历技能、岗位适配等分析，实现照护人才培训与行业就业供需动态平衡。</w:t>
      </w:r>
    </w:p>
    <w:p w14:paraId="2F52CE14">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各县（市）医保部门按照属地管理原则，负责本辖区长护险分级管理。   </w:t>
      </w:r>
    </w:p>
    <w:p w14:paraId="15EEB530">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财政部门：负责足额落实、及时拨付长护险财政补助资金，配合医保部门开展基金收支测算、预算管理、资金监管等工作。</w:t>
      </w:r>
    </w:p>
    <w:p w14:paraId="56237980">
      <w:pPr>
        <w:spacing w:line="560" w:lineRule="exact"/>
        <w:ind w:firstLine="640" w:firstLineChars="200"/>
        <w:contextualSpacing/>
      </w:pPr>
      <w:r>
        <w:rPr>
          <w:rFonts w:ascii="Times New Roman" w:hAnsi="Times New Roman" w:eastAsia="仿宋_GB2312" w:cs="Times New Roman"/>
          <w:sz w:val="32"/>
          <w:szCs w:val="32"/>
        </w:rPr>
        <w:t>人力资源</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社会保障部门：负责长期照护师培训机构和技能等级认定机构的目录清单管理和质量监督工作。指导培训机构规范开展长</w:t>
      </w:r>
      <w:r>
        <w:rPr>
          <w:rFonts w:hint="eastAsia" w:ascii="Times New Roman" w:hAnsi="Times New Roman" w:eastAsia="仿宋_GB2312" w:cs="Times New Roman"/>
          <w:sz w:val="32"/>
          <w:szCs w:val="32"/>
        </w:rPr>
        <w:t>期</w:t>
      </w:r>
      <w:r>
        <w:rPr>
          <w:rFonts w:ascii="Times New Roman" w:hAnsi="Times New Roman" w:eastAsia="仿宋_GB2312" w:cs="Times New Roman"/>
          <w:sz w:val="32"/>
          <w:szCs w:val="32"/>
        </w:rPr>
        <w:t>照护师职业技能培训，强化职业技能等级评价机构建设，协助做好工伤保险与长护险政策衔接。</w:t>
      </w:r>
    </w:p>
    <w:p w14:paraId="22EA73EF">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农业农村部门：负责做好防止返贫致贫对象认定和帮扶工作，引导农村转移劳动力参与长期照护师技能培训，提升技能、拓宽就业渠道。</w:t>
      </w:r>
    </w:p>
    <w:p w14:paraId="1FBC03AA">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税务部门：负责依法依规开展长护险保费征收、费款入库及征收管理相关工作。</w:t>
      </w:r>
    </w:p>
    <w:p w14:paraId="098CF11B">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民政部门：负责推进养老服务体系与长护险制度有效衔接，规范辖区养老服务机构的管理；配合建立失能等级评估结果跨部门互认机制；指导养老服务机构及养老护理员依规参与长期护理服务。  </w:t>
      </w:r>
    </w:p>
    <w:p w14:paraId="5F448065">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卫生健康部门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负责引导各级医疗机构拓展护理服务供给、规范护理服务行为；探索签约家庭医生开展失能等级评估、护理服务计划制定等；配合做好</w:t>
      </w:r>
      <w:r>
        <w:rPr>
          <w:rFonts w:hint="eastAsia" w:ascii="Times New Roman" w:hAnsi="Times New Roman" w:eastAsia="仿宋_GB2312" w:cs="Times New Roman"/>
          <w:sz w:val="32"/>
          <w:szCs w:val="32"/>
        </w:rPr>
        <w:t>长期</w:t>
      </w:r>
      <w:r>
        <w:rPr>
          <w:rFonts w:ascii="Times New Roman" w:hAnsi="Times New Roman" w:eastAsia="仿宋_GB2312" w:cs="Times New Roman"/>
          <w:sz w:val="32"/>
          <w:szCs w:val="32"/>
        </w:rPr>
        <w:t>照护师及评估人员培训工作。</w:t>
      </w:r>
    </w:p>
    <w:p w14:paraId="4B2AA721">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教育部门：指导辖区职业院校按照长期照护师国家职业标准，优化相关专业人才培养方案，深化育人模式改革，强化照护技能人才培育，畅通毕业生就业渠道，保障长护险照护人才供给。</w:t>
      </w:r>
    </w:p>
    <w:p w14:paraId="0C1DD76C">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商务部门：依托家政行业管理职能，引导家政服务从业人员参加长期照护师培训，壮大照护服务从业队伍。</w:t>
      </w:r>
    </w:p>
    <w:p w14:paraId="61FE805A">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残联部门：</w:t>
      </w:r>
      <w:r>
        <w:rPr>
          <w:rFonts w:hint="eastAsia" w:ascii="Times New Roman" w:hAnsi="Times New Roman" w:eastAsia="仿宋_GB2312" w:cs="Times New Roman"/>
          <w:sz w:val="32"/>
          <w:szCs w:val="32"/>
        </w:rPr>
        <w:t>负责</w:t>
      </w:r>
      <w:r>
        <w:rPr>
          <w:rFonts w:ascii="Times New Roman" w:hAnsi="Times New Roman" w:eastAsia="仿宋_GB2312" w:cs="Times New Roman"/>
          <w:sz w:val="32"/>
          <w:szCs w:val="32"/>
        </w:rPr>
        <w:t>做好重度残疾人托养照护服务，推动残疾人康复托养服务与长护险制度的有效衔接。</w:t>
      </w:r>
    </w:p>
    <w:p w14:paraId="40BF47D4">
      <w:pPr>
        <w:spacing w:line="560" w:lineRule="exact"/>
        <w:ind w:firstLine="640" w:firstLineChars="200"/>
        <w:contextualSpacing/>
      </w:pPr>
      <w:r>
        <w:rPr>
          <w:rFonts w:ascii="Times New Roman" w:hAnsi="Times New Roman" w:eastAsia="仿宋_GB2312" w:cs="Times New Roman"/>
          <w:sz w:val="32"/>
          <w:szCs w:val="32"/>
        </w:rPr>
        <w:t>金融监管部门：负责监督规范商业保险机构长护险经办业务行为，督促保险机构合规经营、规范服务、</w:t>
      </w:r>
      <w:r>
        <w:rPr>
          <w:rFonts w:hint="eastAsia" w:ascii="Times New Roman" w:hAnsi="Times New Roman" w:eastAsia="仿宋_GB2312" w:cs="Times New Roman"/>
          <w:sz w:val="32"/>
          <w:szCs w:val="32"/>
        </w:rPr>
        <w:t>严控</w:t>
      </w:r>
      <w:r>
        <w:rPr>
          <w:rFonts w:ascii="Times New Roman" w:hAnsi="Times New Roman" w:eastAsia="仿宋_GB2312" w:cs="Times New Roman"/>
          <w:sz w:val="32"/>
          <w:szCs w:val="32"/>
        </w:rPr>
        <w:t>风险。</w:t>
      </w:r>
    </w:p>
    <w:p w14:paraId="3DBBE499">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各级各部门要多渠道</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多形式宣传、解读长期护理保险政策和保障功能，增强全社会保险责任意识，引导社会舆论，凝聚社会共识。</w:t>
      </w:r>
    </w:p>
    <w:p w14:paraId="4AF5D836">
      <w:pPr>
        <w:spacing w:line="560" w:lineRule="exact"/>
        <w:contextualSpacing/>
        <w:jc w:val="center"/>
        <w:outlineLvl w:val="2"/>
        <w:rPr>
          <w:rFonts w:ascii="Times New Roman" w:hAnsi="Times New Roman" w:eastAsia="仿宋_GB2312" w:cs="Times New Roman"/>
          <w:sz w:val="32"/>
          <w:szCs w:val="32"/>
        </w:rPr>
      </w:pPr>
      <w:r>
        <w:rPr>
          <w:rFonts w:ascii="Times New Roman" w:hAnsi="Times New Roman" w:eastAsia="仿宋_GB2312" w:cs="Times New Roman"/>
          <w:b/>
          <w:sz w:val="32"/>
          <w:szCs w:val="32"/>
        </w:rPr>
        <w:t>第五章 基金运行管理</w:t>
      </w:r>
      <w:bookmarkEnd w:id="5"/>
    </w:p>
    <w:p w14:paraId="547459A5">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第十八条 </w:t>
      </w:r>
      <w:r>
        <w:rPr>
          <w:rFonts w:ascii="Times New Roman" w:hAnsi="Times New Roman" w:eastAsia="仿宋_GB2312" w:cs="Times New Roman"/>
          <w:sz w:val="32"/>
          <w:szCs w:val="32"/>
        </w:rPr>
        <w:t>长护险基金主要用于长护险运行过程中发生的符合长护险支付范围的待遇支付费用、失能等级评估费用、参与经办的第三方机构服务费用以及法律法规规定的其他费用支出。</w:t>
      </w:r>
    </w:p>
    <w:p w14:paraId="34A00DF5">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第十九条</w:t>
      </w:r>
      <w:r>
        <w:rPr>
          <w:rFonts w:ascii="Times New Roman" w:hAnsi="Times New Roman" w:eastAsia="仿宋_GB2312" w:cs="Times New Roman"/>
          <w:sz w:val="32"/>
          <w:szCs w:val="32"/>
        </w:rPr>
        <w:t xml:space="preserve"> 按照社会保险基金财务制度管理要求，长护险基金纳入社会保险基金财政专户，单独建账、单独管理、专款专用。长护险基金按照“收支平衡、合理结余”的原则，实行收支预算管理和预算绩效管理。严格执行基金财务制度，规范基金收支。</w:t>
      </w:r>
    </w:p>
    <w:p w14:paraId="467AC39E">
      <w:pPr>
        <w:spacing w:line="560" w:lineRule="exact"/>
        <w:ind w:firstLine="640" w:firstLineChars="200"/>
        <w:contextualSpacing/>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建立健全长护险基金运行动态监控机制与风险预警防范体系。做好长护险基金运行评估和风险预警，扎实开展长护险基金中长期分析，确保基金可持续运行。长护险基金运行出现风险时，按照中央和自治区规定及时调整筹资或待遇政策。</w:t>
      </w:r>
      <w:bookmarkStart w:id="6" w:name="heading_14"/>
    </w:p>
    <w:bookmarkEnd w:id="6"/>
    <w:p w14:paraId="2DFA6685">
      <w:pPr>
        <w:spacing w:line="560" w:lineRule="exact"/>
        <w:contextualSpacing/>
        <w:jc w:val="center"/>
        <w:outlineLvl w:val="2"/>
        <w:rPr>
          <w:rFonts w:ascii="Times New Roman" w:hAnsi="Times New Roman" w:eastAsia="仿宋_GB2312" w:cs="Times New Roman"/>
          <w:sz w:val="32"/>
          <w:szCs w:val="32"/>
        </w:rPr>
      </w:pPr>
      <w:bookmarkStart w:id="7" w:name="heading_11"/>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六</w:t>
      </w:r>
      <w:r>
        <w:rPr>
          <w:rFonts w:ascii="Times New Roman" w:hAnsi="Times New Roman" w:eastAsia="仿宋_GB2312" w:cs="Times New Roman"/>
          <w:b/>
          <w:sz w:val="32"/>
          <w:szCs w:val="32"/>
        </w:rPr>
        <w:t>章</w:t>
      </w:r>
      <w:bookmarkEnd w:id="7"/>
      <w:bookmarkStart w:id="8" w:name="heading_12"/>
      <w:r>
        <w:rPr>
          <w:rFonts w:ascii="Times New Roman" w:hAnsi="Times New Roman" w:eastAsia="仿宋_GB2312" w:cs="Times New Roman"/>
          <w:b/>
          <w:sz w:val="32"/>
          <w:szCs w:val="32"/>
        </w:rPr>
        <w:t xml:space="preserve"> 失能等级评估管理</w:t>
      </w:r>
      <w:bookmarkEnd w:id="8"/>
    </w:p>
    <w:p w14:paraId="1CC2C28C">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第二十条</w:t>
      </w:r>
      <w:r>
        <w:rPr>
          <w:rFonts w:ascii="Times New Roman" w:hAnsi="Times New Roman" w:eastAsia="仿宋_GB2312" w:cs="Times New Roman"/>
          <w:sz w:val="32"/>
          <w:szCs w:val="32"/>
        </w:rPr>
        <w:t xml:space="preserve"> 失能等级评估，是指依据国家长护险失能等级评估标准有关规定，由定点评估机构对评估对象日常生活活动、认知、感知觉与沟通等方面的能力丧失程度的分级评估。</w:t>
      </w:r>
    </w:p>
    <w:p w14:paraId="4BAC0C13">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第二十</w:t>
      </w:r>
      <w:r>
        <w:rPr>
          <w:rFonts w:hint="eastAsia" w:ascii="Times New Roman" w:hAnsi="Times New Roman" w:eastAsia="仿宋_GB2312" w:cs="Times New Roman"/>
          <w:b/>
          <w:sz w:val="32"/>
          <w:szCs w:val="32"/>
        </w:rPr>
        <w:t>一</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失能等级评估机构（以下简称“评估机构”）应遵循</w:t>
      </w:r>
      <w:r>
        <w:rPr>
          <w:rFonts w:hint="eastAsia" w:ascii="Times New Roman" w:hAnsi="Times New Roman" w:eastAsia="仿宋_GB2312" w:cs="Times New Roman"/>
          <w:sz w:val="32"/>
          <w:szCs w:val="32"/>
        </w:rPr>
        <w:t>公平公开、科学规范、权责明晰、高效便民</w:t>
      </w:r>
      <w:r>
        <w:rPr>
          <w:rFonts w:ascii="Times New Roman" w:hAnsi="Times New Roman" w:eastAsia="仿宋_GB2312" w:cs="Times New Roman"/>
          <w:sz w:val="32"/>
          <w:szCs w:val="32"/>
        </w:rPr>
        <w:t>的原则，按照国家有关标准对提出申请的参保人员开展失能等级评估工作。评估机构实行定点管理，按照国家、自治区长护险失能等级</w:t>
      </w:r>
      <w:r>
        <w:rPr>
          <w:rFonts w:hint="eastAsia" w:ascii="Times New Roman" w:hAnsi="Times New Roman" w:eastAsia="仿宋_GB2312" w:cs="Times New Roman"/>
          <w:sz w:val="32"/>
          <w:szCs w:val="32"/>
        </w:rPr>
        <w:t>评估定点</w:t>
      </w:r>
      <w:r>
        <w:rPr>
          <w:rFonts w:ascii="Times New Roman" w:hAnsi="Times New Roman" w:eastAsia="仿宋_GB2312" w:cs="Times New Roman"/>
          <w:sz w:val="32"/>
          <w:szCs w:val="32"/>
        </w:rPr>
        <w:t>管理要求执行。综合考虑失能人员总体规模、评估行业发展实际、管理服务能力，由州医疗保障行政部门合理确定州直定点评估机构数量。</w:t>
      </w:r>
    </w:p>
    <w:p w14:paraId="1EAC3E38">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评估机构可自愿向当地经办机构提出定点申请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经办机构受理申请后，依次组织初审、综合审核，并将审核结果向同级医疗保障行政部门备案。审核合格的，纳入拟签约定点评估机构名单，向社会公示；公示无异议的，签订评估服务协议，并向社会公布定点评估机构名单。定点评估机构不得同时承担长护服务</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经办工作。</w:t>
      </w:r>
    </w:p>
    <w:p w14:paraId="5D855347">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第二十</w:t>
      </w:r>
      <w:r>
        <w:rPr>
          <w:rFonts w:hint="eastAsia" w:ascii="Times New Roman" w:hAnsi="Times New Roman" w:eastAsia="仿宋_GB2312" w:cs="Times New Roman"/>
          <w:b/>
          <w:sz w:val="32"/>
          <w:szCs w:val="32"/>
        </w:rPr>
        <w:t>二</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失能等级评估具体包括初次评估、定期复评、争议复评、状态变更评估、抽查复评。</w:t>
      </w:r>
    </w:p>
    <w:p w14:paraId="066F6C76">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（一）初次评估。经申请人首次提出申请后，开展的失能等级评估为初次评估。</w:t>
      </w:r>
    </w:p>
    <w:p w14:paraId="7F1419EC">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（二）定期复评。评估</w:t>
      </w:r>
      <w:r>
        <w:rPr>
          <w:rFonts w:hint="eastAsia" w:ascii="Times New Roman" w:hAnsi="Times New Roman" w:eastAsia="仿宋_GB2312" w:cs="Times New Roman"/>
          <w:sz w:val="32"/>
          <w:szCs w:val="32"/>
        </w:rPr>
        <w:t>结论</w:t>
      </w:r>
      <w:r>
        <w:rPr>
          <w:rFonts w:ascii="Times New Roman" w:hAnsi="Times New Roman" w:eastAsia="仿宋_GB2312" w:cs="Times New Roman"/>
          <w:sz w:val="32"/>
          <w:szCs w:val="32"/>
        </w:rPr>
        <w:t>有效期届满前60日，经办机构应组织对需继续享受长护险待遇的参保人进行重新评估。</w:t>
      </w:r>
    </w:p>
    <w:p w14:paraId="5E22C97C">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三）争议复评。评估对象或其监护人、委托代理人对失能等级评估结论有异议的，可在收到评估结论书后五个工作日内，向经办机构提出复评申请。第三人对公示评估结论有异议的，可在公示期内向经办机构实名反映情况。反映情况基本属实的，经办机构组织复评。</w:t>
      </w:r>
    </w:p>
    <w:p w14:paraId="3DF1A5F7">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（四）状态变更评估。参保人失能状态发生变化、与评估结论不匹配，评估结论出具满6个月的，可向经办机构申请重新评估。</w:t>
      </w:r>
    </w:p>
    <w:p w14:paraId="311B00B0">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（五）抽查</w:t>
      </w:r>
      <w:r>
        <w:rPr>
          <w:rFonts w:hint="eastAsia" w:ascii="Times New Roman" w:hAnsi="Times New Roman" w:eastAsia="仿宋_GB2312" w:cs="Times New Roman"/>
          <w:sz w:val="32"/>
          <w:szCs w:val="32"/>
        </w:rPr>
        <w:t>复</w:t>
      </w:r>
      <w:r>
        <w:rPr>
          <w:rFonts w:ascii="Times New Roman" w:hAnsi="Times New Roman" w:eastAsia="仿宋_GB2312" w:cs="Times New Roman"/>
          <w:sz w:val="32"/>
          <w:szCs w:val="32"/>
        </w:rPr>
        <w:t>评。经办机构通过抽查监督等途径，发现参保人当前失能状态发生变化、可能影响待遇享受的，经办机构应当组织重新评估。</w:t>
      </w:r>
    </w:p>
    <w:p w14:paraId="21E38B53">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二</w:t>
      </w:r>
      <w:r>
        <w:rPr>
          <w:rFonts w:ascii="Times New Roman" w:hAnsi="Times New Roman" w:eastAsia="仿宋_GB2312" w:cs="Times New Roman"/>
          <w:b/>
          <w:sz w:val="32"/>
          <w:szCs w:val="32"/>
        </w:rPr>
        <w:t xml:space="preserve">十三条 </w:t>
      </w:r>
      <w:r>
        <w:rPr>
          <w:rFonts w:ascii="Times New Roman" w:hAnsi="Times New Roman" w:eastAsia="仿宋_GB2312" w:cs="Times New Roman"/>
          <w:sz w:val="32"/>
          <w:szCs w:val="32"/>
        </w:rPr>
        <w:t>建立健全评估服务费由基金和个人合理分担机制，符合规定的失能等级评估费用可以从基金中支付，原则上参保人</w:t>
      </w:r>
      <w:r>
        <w:rPr>
          <w:rFonts w:hint="eastAsia" w:ascii="Times New Roman" w:hAnsi="Times New Roman" w:eastAsia="仿宋_GB2312" w:cs="Times New Roman"/>
          <w:sz w:val="32"/>
          <w:szCs w:val="32"/>
        </w:rPr>
        <w:t>初</w:t>
      </w:r>
      <w:r>
        <w:rPr>
          <w:rFonts w:ascii="Times New Roman" w:hAnsi="Times New Roman" w:eastAsia="仿宋_GB2312" w:cs="Times New Roman"/>
          <w:sz w:val="32"/>
          <w:szCs w:val="32"/>
        </w:rPr>
        <w:t>次评估通过的评估服务费，以及按制度要求参加定期复评的评估服务费，由基金支付。初次评估未通过的，由参保人员自行承担。开展争议复评，复评与初次评估结论一致的，由参保人自行承担；结论不一致的，由初次评估机构承担。开展抽查复评，相关费用从经办</w:t>
      </w:r>
      <w:r>
        <w:rPr>
          <w:rFonts w:hint="eastAsia" w:ascii="Times New Roman" w:hAnsi="Times New Roman" w:eastAsia="仿宋_GB2312" w:cs="Times New Roman"/>
          <w:sz w:val="32"/>
          <w:szCs w:val="32"/>
        </w:rPr>
        <w:t>服务</w:t>
      </w:r>
      <w:r>
        <w:rPr>
          <w:rFonts w:ascii="Times New Roman" w:hAnsi="Times New Roman" w:eastAsia="仿宋_GB2312" w:cs="Times New Roman"/>
          <w:sz w:val="32"/>
          <w:szCs w:val="32"/>
        </w:rPr>
        <w:t>费中列支。</w:t>
      </w:r>
    </w:p>
    <w:p w14:paraId="77A93DDE">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二</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四</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上门开展初次评估、定期复评、状态变更评估</w:t>
      </w:r>
      <w:r>
        <w:rPr>
          <w:rFonts w:hint="eastAsia" w:ascii="Times New Roman" w:hAnsi="Times New Roman" w:eastAsia="仿宋_GB2312" w:cs="Times New Roman"/>
          <w:sz w:val="32"/>
          <w:szCs w:val="32"/>
        </w:rPr>
        <w:t>通过的，由基金支付</w:t>
      </w:r>
      <w:r>
        <w:rPr>
          <w:rFonts w:ascii="Times New Roman" w:hAnsi="Times New Roman" w:eastAsia="仿宋_GB2312" w:cs="Times New Roman"/>
          <w:sz w:val="32"/>
          <w:szCs w:val="32"/>
        </w:rPr>
        <w:t>250元/人次；在机构开展上述评估</w:t>
      </w:r>
      <w:r>
        <w:rPr>
          <w:rFonts w:hint="eastAsia" w:ascii="Times New Roman" w:hAnsi="Times New Roman" w:eastAsia="仿宋_GB2312" w:cs="Times New Roman"/>
          <w:sz w:val="32"/>
          <w:szCs w:val="32"/>
        </w:rPr>
        <w:t>通过的，由基金支付</w:t>
      </w:r>
      <w:r>
        <w:rPr>
          <w:rFonts w:ascii="Times New Roman" w:hAnsi="Times New Roman" w:eastAsia="仿宋_GB2312" w:cs="Times New Roman"/>
          <w:sz w:val="32"/>
          <w:szCs w:val="32"/>
        </w:rPr>
        <w:t>200元/人次。州医疗保障行政部门可</w:t>
      </w:r>
      <w:bookmarkStart w:id="12" w:name="_GoBack"/>
      <w:bookmarkEnd w:id="12"/>
      <w:r>
        <w:rPr>
          <w:rFonts w:ascii="Times New Roman" w:hAnsi="Times New Roman" w:eastAsia="仿宋_GB2312" w:cs="Times New Roman"/>
          <w:sz w:val="32"/>
          <w:szCs w:val="32"/>
        </w:rPr>
        <w:t>会商相关部门动态调整评估服务费标准。</w:t>
      </w:r>
    </w:p>
    <w:p w14:paraId="46DDAE01">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二</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五</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失能等级</w:t>
      </w:r>
      <w:r>
        <w:rPr>
          <w:rFonts w:ascii="Times New Roman" w:hAnsi="Times New Roman" w:eastAsia="仿宋_GB2312" w:cs="Times New Roman"/>
          <w:sz w:val="32"/>
          <w:szCs w:val="32"/>
        </w:rPr>
        <w:t>评估结论有效期为2年，评估结论有效期与待遇享受期保持一致。在评估结论有效期届满前60日，经办机构按规定组织定期复评。经评估符合待遇享受条件的，有效期届满后重新计算。经评估失能等级发生变化的，按照新的失能等级评估结论享受相应长护险待遇。经评估不符合待遇享受条件的，自评估结论作出次日起停止享受待遇。</w:t>
      </w:r>
    </w:p>
    <w:p w14:paraId="15B75458">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二</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六</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有下列情形之一的，不予受理失能等级评估申请：</w:t>
      </w:r>
    </w:p>
    <w:p w14:paraId="352B771B">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1.未参加长护险的；</w:t>
      </w:r>
    </w:p>
    <w:p w14:paraId="5F85170E">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2.不符合待遇享受条件的；</w:t>
      </w:r>
    </w:p>
    <w:p w14:paraId="0FD26289">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3.申报材料不全或提供虚假材料的；</w:t>
      </w:r>
    </w:p>
    <w:p w14:paraId="151ACB35">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4.申请评估时处于医保中断缴费或医保待遇等待期的；</w:t>
      </w:r>
    </w:p>
    <w:p w14:paraId="3FF274E3">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5.依法应当由第三人负担的或属于工伤等社会保险责任范围的；</w:t>
      </w:r>
    </w:p>
    <w:p w14:paraId="3347A2A9">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6.发生护理服务费用不属于长护险基金支付范围的；</w:t>
      </w:r>
    </w:p>
    <w:p w14:paraId="70436470">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7.其他长护险不予受理评估申请的情形。</w:t>
      </w:r>
    </w:p>
    <w:p w14:paraId="5A48B541">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二</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七</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定点评估机构应配合经办机构的日常检查、评估结论抽查、考核评价等工作，接受医疗保障行政部门的监督检查，并按规定提供相关材料。</w:t>
      </w:r>
    </w:p>
    <w:p w14:paraId="317BF51F">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二</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八</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参保人员在待遇享受期间应按规定接受定期复评和监督核查。参保人员或者其监护人、委托代理人无正当理由不配合核查的，次日起暂停待遇，直至配合完成评估核查，暂停期间待遇不追溯。</w:t>
      </w:r>
      <w:bookmarkStart w:id="9" w:name="heading_13"/>
    </w:p>
    <w:p w14:paraId="46E91938">
      <w:pPr>
        <w:spacing w:line="560" w:lineRule="exact"/>
        <w:contextualSpacing/>
        <w:jc w:val="center"/>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七</w:t>
      </w:r>
      <w:r>
        <w:rPr>
          <w:rFonts w:ascii="Times New Roman" w:hAnsi="Times New Roman" w:eastAsia="仿宋_GB2312" w:cs="Times New Roman"/>
          <w:b/>
          <w:sz w:val="32"/>
          <w:szCs w:val="32"/>
        </w:rPr>
        <w:t>章 长护服务管理</w:t>
      </w:r>
      <w:bookmarkEnd w:id="9"/>
    </w:p>
    <w:p w14:paraId="24444ABC">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二</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九</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长护险护理服务机构（以下简称“长护服务机构”）实行定点管理。按照国家、自治区长护险护理服务</w:t>
      </w:r>
      <w:r>
        <w:rPr>
          <w:rFonts w:hint="eastAsia" w:ascii="Times New Roman" w:hAnsi="Times New Roman" w:eastAsia="仿宋_GB2312" w:cs="Times New Roman"/>
          <w:sz w:val="32"/>
          <w:szCs w:val="32"/>
        </w:rPr>
        <w:t>定点</w:t>
      </w:r>
      <w:r>
        <w:rPr>
          <w:rFonts w:ascii="Times New Roman" w:hAnsi="Times New Roman" w:eastAsia="仿宋_GB2312" w:cs="Times New Roman"/>
          <w:sz w:val="32"/>
          <w:szCs w:val="32"/>
        </w:rPr>
        <w:t>管理相关规定执行。医疗保障行政部门按照“保障基本、布局合理、择优纳入、动态调整”的原则，制定州直长护服务机构配置规划。</w:t>
      </w:r>
    </w:p>
    <w:p w14:paraId="4339753B">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第三十条</w:t>
      </w:r>
      <w:r>
        <w:rPr>
          <w:rFonts w:ascii="Times New Roman" w:hAnsi="Times New Roman" w:eastAsia="仿宋_GB2312" w:cs="Times New Roman"/>
          <w:sz w:val="32"/>
          <w:szCs w:val="32"/>
        </w:rPr>
        <w:t xml:space="preserve"> 州直</w:t>
      </w:r>
      <w:r>
        <w:rPr>
          <w:rFonts w:hint="eastAsia" w:ascii="Times New Roman" w:hAnsi="Times New Roman" w:eastAsia="仿宋_GB2312" w:cs="Times New Roman"/>
          <w:sz w:val="32"/>
          <w:szCs w:val="32"/>
        </w:rPr>
        <w:t>统筹区</w:t>
      </w:r>
      <w:r>
        <w:rPr>
          <w:rFonts w:ascii="Times New Roman" w:hAnsi="Times New Roman" w:eastAsia="仿宋_GB2312" w:cs="Times New Roman"/>
          <w:sz w:val="32"/>
          <w:szCs w:val="32"/>
        </w:rPr>
        <w:t>内，符合长护险护理服务管理相关规定，能够为失能人员提供长期护理服务的养老机构、医疗机构或者其他服务机构，可自愿向</w:t>
      </w:r>
      <w:r>
        <w:rPr>
          <w:rFonts w:hint="eastAsia" w:ascii="Times New Roman" w:hAnsi="Times New Roman" w:eastAsia="仿宋_GB2312" w:cs="Times New Roman"/>
          <w:sz w:val="32"/>
          <w:szCs w:val="32"/>
        </w:rPr>
        <w:t>当地</w:t>
      </w:r>
      <w:r>
        <w:rPr>
          <w:rFonts w:ascii="Times New Roman" w:hAnsi="Times New Roman" w:eastAsia="仿宋_GB2312" w:cs="Times New Roman"/>
          <w:sz w:val="32"/>
          <w:szCs w:val="32"/>
        </w:rPr>
        <w:t>经办机构申请成为定点长护服务机构。</w:t>
      </w:r>
      <w:r>
        <w:rPr>
          <w:rFonts w:hint="eastAsia" w:ascii="Times New Roman" w:hAnsi="Times New Roman" w:eastAsia="仿宋_GB2312" w:cs="Times New Roman"/>
          <w:sz w:val="32"/>
          <w:szCs w:val="32"/>
        </w:rPr>
        <w:t>设立分支机构或多个站点的，新增机构（站点）应按要求申请定点管理。</w:t>
      </w:r>
    </w:p>
    <w:p w14:paraId="2A760E61">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第三十</w:t>
      </w:r>
      <w:r>
        <w:rPr>
          <w:rFonts w:hint="eastAsia" w:ascii="Times New Roman" w:hAnsi="Times New Roman" w:eastAsia="仿宋_GB2312" w:cs="Times New Roman"/>
          <w:b/>
          <w:sz w:val="32"/>
          <w:szCs w:val="32"/>
        </w:rPr>
        <w:t>一</w:t>
      </w:r>
      <w:r>
        <w:rPr>
          <w:rFonts w:ascii="Times New Roman" w:hAnsi="Times New Roman" w:eastAsia="仿宋_GB2312" w:cs="Times New Roman"/>
          <w:b/>
          <w:sz w:val="32"/>
          <w:szCs w:val="32"/>
        </w:rPr>
        <w:t>条</w:t>
      </w:r>
      <w:r>
        <w:rPr>
          <w:rFonts w:hint="eastAsia" w:ascii="Times New Roman" w:hAnsi="Times New Roman" w:eastAsia="仿宋_GB2312" w:cs="Times New Roman"/>
          <w:b/>
          <w:sz w:val="32"/>
          <w:szCs w:val="32"/>
        </w:rPr>
        <w:t xml:space="preserve"> </w:t>
      </w:r>
      <w:r>
        <w:rPr>
          <w:rFonts w:ascii="Times New Roman" w:hAnsi="Times New Roman" w:eastAsia="仿宋_GB2312" w:cs="Times New Roman"/>
          <w:sz w:val="32"/>
          <w:szCs w:val="32"/>
        </w:rPr>
        <w:t>经办机构应当按照有关规定对申请材料进行形式审查、综合审核并将审核结果向同级医疗保障行政部门备案。审核合格</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，纳入拟</w:t>
      </w:r>
      <w:r>
        <w:rPr>
          <w:rFonts w:hint="eastAsia" w:ascii="Times New Roman" w:hAnsi="Times New Roman" w:eastAsia="仿宋_GB2312" w:cs="Times New Roman"/>
          <w:sz w:val="32"/>
          <w:szCs w:val="32"/>
        </w:rPr>
        <w:t>签订协议</w:t>
      </w:r>
      <w:r>
        <w:rPr>
          <w:rFonts w:ascii="Times New Roman" w:hAnsi="Times New Roman" w:eastAsia="仿宋_GB2312" w:cs="Times New Roman"/>
          <w:sz w:val="32"/>
          <w:szCs w:val="32"/>
        </w:rPr>
        <w:t>的长护服务机构名单，向社会公示；公示无异议的，签订长护协议，向同级医疗保障行政部门备案</w:t>
      </w:r>
      <w:r>
        <w:rPr>
          <w:rFonts w:hint="eastAsia" w:ascii="Times New Roman" w:hAnsi="Times New Roman" w:eastAsia="仿宋_GB2312" w:cs="Times New Roman"/>
          <w:sz w:val="32"/>
          <w:szCs w:val="32"/>
        </w:rPr>
        <w:t>并</w:t>
      </w:r>
      <w:r>
        <w:rPr>
          <w:rFonts w:ascii="Times New Roman" w:hAnsi="Times New Roman" w:eastAsia="仿宋_GB2312" w:cs="Times New Roman"/>
          <w:sz w:val="32"/>
          <w:szCs w:val="32"/>
        </w:rPr>
        <w:t>向社会公布定点长护服务机构信息。</w:t>
      </w:r>
    </w:p>
    <w:p w14:paraId="6AB94E62">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三</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二</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定点长护服务机构应与参保人员或其监护人、委托代理人沟通协调后，形成护理服务计划，明确服务的类型、频次、时长、配比等，经参保人员或其监护人、委托代理人确认后实施。定点长护服务机构应合理服务、合理收费，严格执行长护险服务项目等目录，优先使用目录内项目。定点长护服务机构提供长护险保障范围外的服务事项应事先征得参保人员或其监护人、委托代理人书面同意。</w:t>
      </w:r>
    </w:p>
    <w:p w14:paraId="273447E1">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三</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三</w:t>
      </w:r>
      <w:r>
        <w:rPr>
          <w:rFonts w:ascii="Times New Roman" w:hAnsi="Times New Roman" w:eastAsia="仿宋_GB2312" w:cs="Times New Roman"/>
          <w:b/>
          <w:sz w:val="32"/>
          <w:szCs w:val="32"/>
        </w:rPr>
        <w:t>条</w:t>
      </w:r>
      <w:r>
        <w:rPr>
          <w:rFonts w:hint="eastAsia" w:ascii="Times New Roman" w:hAnsi="Times New Roman" w:eastAsia="仿宋_GB2312" w:cs="Times New Roman"/>
          <w:b/>
          <w:sz w:val="32"/>
          <w:szCs w:val="32"/>
        </w:rPr>
        <w:t xml:space="preserve"> </w:t>
      </w:r>
      <w:r>
        <w:rPr>
          <w:rFonts w:hint="eastAsia" w:ascii="Times New Roman" w:hAnsi="Times New Roman" w:eastAsia="仿宋_GB2312" w:cs="Times New Roman"/>
          <w:sz w:val="32"/>
          <w:szCs w:val="32"/>
        </w:rPr>
        <w:t>参保人员长护服务费用中应当由长护险基金支付的部分，由经办机构与定点长护服务机构直接结算。</w:t>
      </w:r>
    </w:p>
    <w:p w14:paraId="69AD4B60">
      <w:pPr>
        <w:spacing w:line="560" w:lineRule="exact"/>
        <w:ind w:firstLine="643" w:firstLineChars="200"/>
        <w:contextualSpacing/>
        <w:rPr>
          <w:rFonts w:ascii="Times New Roman" w:hAnsi="Times New Roman" w:eastAsia="仿宋_GB2312" w:cs="Times New Roman"/>
          <w:b/>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三</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四</w:t>
      </w:r>
      <w:r>
        <w:rPr>
          <w:rFonts w:ascii="Times New Roman" w:hAnsi="Times New Roman" w:eastAsia="仿宋_GB2312" w:cs="Times New Roman"/>
          <w:b/>
          <w:sz w:val="32"/>
          <w:szCs w:val="32"/>
        </w:rPr>
        <w:t>条</w:t>
      </w:r>
      <w:r>
        <w:rPr>
          <w:rFonts w:hint="eastAsia" w:ascii="Times New Roman" w:hAnsi="Times New Roman" w:eastAsia="仿宋_GB2312" w:cs="Times New Roman"/>
          <w:b/>
          <w:sz w:val="32"/>
          <w:szCs w:val="32"/>
        </w:rPr>
        <w:t xml:space="preserve"> </w:t>
      </w:r>
      <w:r>
        <w:rPr>
          <w:rFonts w:hint="eastAsia" w:ascii="Times New Roman" w:hAnsi="Times New Roman" w:eastAsia="仿宋_GB2312" w:cs="Times New Roman"/>
          <w:sz w:val="32"/>
          <w:szCs w:val="32"/>
        </w:rPr>
        <w:t>建立健全长护险服务质量评价和费用控制激励约束机制。构建契合长护险服务特征的支付机制、协商谈判机制。科学划分支付方式适用范围，机构护理优先采用按床日付费，居家上门、社区护理推行按服务时长（服务包）付费，探索多元支付方式组合运用。</w:t>
      </w:r>
    </w:p>
    <w:p w14:paraId="4835D143">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三</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五</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定点长护服务机构应当建立与长护险要求相适应的内部管理制度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配备</w:t>
      </w:r>
      <w:r>
        <w:rPr>
          <w:rFonts w:hint="eastAsia" w:ascii="Times New Roman" w:hAnsi="Times New Roman" w:eastAsia="仿宋_GB2312" w:cs="Times New Roman"/>
          <w:sz w:val="32"/>
          <w:szCs w:val="32"/>
        </w:rPr>
        <w:t>长期照护师、养老护理员、医疗护理员或由医疗保障部门确定符合条件的相关人员，且人员类型、数量与服务能力、服务范围相匹配。</w:t>
      </w:r>
      <w:r>
        <w:rPr>
          <w:rFonts w:ascii="Times New Roman" w:hAnsi="Times New Roman" w:eastAsia="仿宋_GB2312" w:cs="Times New Roman"/>
          <w:sz w:val="32"/>
          <w:szCs w:val="32"/>
        </w:rPr>
        <w:t>自觉加强行业自律，遵守国家、自治区及有关服务价格管理的法律法规、标准规范，全面实行收费公示和费用清单制度。</w:t>
      </w:r>
    </w:p>
    <w:p w14:paraId="2646FA52">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三</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六</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提供社区护理服务和机构护理服务的从业人员</w:t>
      </w:r>
      <w:r>
        <w:rPr>
          <w:rFonts w:hint="eastAsia" w:ascii="Times New Roman" w:hAnsi="Times New Roman" w:eastAsia="仿宋_GB2312" w:cs="Times New Roman"/>
          <w:sz w:val="32"/>
          <w:szCs w:val="32"/>
        </w:rPr>
        <w:t>按要求</w:t>
      </w:r>
      <w:r>
        <w:rPr>
          <w:rFonts w:ascii="Times New Roman" w:hAnsi="Times New Roman" w:eastAsia="仿宋_GB2312" w:cs="Times New Roman"/>
          <w:sz w:val="32"/>
          <w:szCs w:val="32"/>
        </w:rPr>
        <w:t>获得相关技能等级证书或专项职业能力证书，与定点长护服务机构签订劳动或劳务合同等隶属关系文书，在定点长护服务机构的管理下开展护理服务活动，定点长护服务机构依法为长护服务从业人员缴纳社会保险。鼓励和引导居家护理服务的人员积极参加培训，取得相关证书。</w:t>
      </w:r>
    </w:p>
    <w:p w14:paraId="181E89CB">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三</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七</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定点长护服务机构应当配合经办机构开展长护险费用审核、服务质量检查、绩效考核等工作，及时向医疗保障部门提供长护险基金使用监督管理及协议管理的所需信息。</w:t>
      </w:r>
    </w:p>
    <w:p w14:paraId="3C6E540E">
      <w:pPr>
        <w:spacing w:line="560" w:lineRule="exact"/>
        <w:contextualSpacing/>
        <w:jc w:val="center"/>
        <w:outlineLvl w:val="2"/>
        <w:rPr>
          <w:rFonts w:ascii="Times New Roman" w:hAnsi="Times New Roman" w:eastAsia="仿宋_GB2312" w:cs="Times New Roman"/>
          <w:b/>
          <w:sz w:val="32"/>
          <w:szCs w:val="32"/>
        </w:rPr>
      </w:pPr>
      <w:bookmarkStart w:id="10" w:name="heading_17"/>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八</w:t>
      </w:r>
      <w:r>
        <w:rPr>
          <w:rFonts w:ascii="Times New Roman" w:hAnsi="Times New Roman" w:eastAsia="仿宋_GB2312" w:cs="Times New Roman"/>
          <w:b/>
          <w:sz w:val="32"/>
          <w:szCs w:val="32"/>
        </w:rPr>
        <w:t>章 经办服务管理</w:t>
      </w:r>
    </w:p>
    <w:p w14:paraId="6F9B6816">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三</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八</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医疗保障经办机构 (以下简称“经办机构”) 为长护险经办机构，州经办机构组织实施州直长护险经办工作，负责</w:t>
      </w:r>
      <w:r>
        <w:rPr>
          <w:rFonts w:hint="eastAsia" w:ascii="Times New Roman" w:hAnsi="Times New Roman" w:eastAsia="仿宋_GB2312" w:cs="Times New Roman"/>
          <w:sz w:val="32"/>
          <w:szCs w:val="32"/>
        </w:rPr>
        <w:t>指导</w:t>
      </w:r>
      <w:r>
        <w:rPr>
          <w:rFonts w:ascii="Times New Roman" w:hAnsi="Times New Roman" w:eastAsia="仿宋_GB2312" w:cs="Times New Roman"/>
          <w:sz w:val="32"/>
          <w:szCs w:val="32"/>
        </w:rPr>
        <w:t>县（市）经办机构按职责开展各项经办业务。</w:t>
      </w:r>
    </w:p>
    <w:p w14:paraId="37F50D60">
      <w:pPr>
        <w:spacing w:line="56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经办管理坚持政府主导，构建以政府经办为基础，社会力量经办为补充的长护险经办管理服务体系。探索引入社会力量参与经办管理服务，依法依规通过公开招标等竞争性方式有序规范引入社会力量</w:t>
      </w:r>
      <w:r>
        <w:rPr>
          <w:rFonts w:hint="eastAsia" w:ascii="Times New Roman" w:hAnsi="Times New Roman" w:eastAsia="仿宋_GB2312" w:cs="Times New Roman"/>
          <w:sz w:val="32"/>
          <w:szCs w:val="32"/>
        </w:rPr>
        <w:t>（以下简称“参与经办的第三方机构”）</w:t>
      </w:r>
      <w:r>
        <w:rPr>
          <w:rFonts w:ascii="Times New Roman" w:hAnsi="Times New Roman" w:eastAsia="仿宋_GB2312" w:cs="Times New Roman"/>
          <w:sz w:val="32"/>
          <w:szCs w:val="32"/>
        </w:rPr>
        <w:t>参与长护险经办管理服务</w:t>
      </w:r>
      <w:r>
        <w:rPr>
          <w:rFonts w:hint="eastAsia" w:ascii="Times New Roman" w:hAnsi="Times New Roman" w:eastAsia="仿宋_GB2312" w:cs="Times New Roman"/>
          <w:sz w:val="32"/>
          <w:szCs w:val="32"/>
        </w:rPr>
        <w:t>。由经办机构与参与经办的第三方机构签订协议，明确服务内容、责任、考核等。</w:t>
      </w:r>
      <w:r>
        <w:rPr>
          <w:rFonts w:ascii="Times New Roman" w:hAnsi="Times New Roman" w:eastAsia="仿宋_GB2312" w:cs="Times New Roman"/>
          <w:sz w:val="32"/>
          <w:szCs w:val="32"/>
        </w:rPr>
        <w:t>相关费用依协议约定从</w:t>
      </w:r>
      <w:r>
        <w:rPr>
          <w:rFonts w:hint="eastAsia" w:ascii="Times New Roman" w:hAnsi="Times New Roman" w:eastAsia="仿宋_GB2312" w:cs="Times New Roman"/>
          <w:sz w:val="32"/>
          <w:szCs w:val="32"/>
        </w:rPr>
        <w:t>长护险</w:t>
      </w:r>
      <w:r>
        <w:rPr>
          <w:rFonts w:ascii="Times New Roman" w:hAnsi="Times New Roman" w:eastAsia="仿宋_GB2312" w:cs="Times New Roman"/>
          <w:sz w:val="32"/>
          <w:szCs w:val="32"/>
        </w:rPr>
        <w:t>基金中列支</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 xml:space="preserve"> </w:t>
      </w:r>
    </w:p>
    <w:p w14:paraId="4F0EFF9B">
      <w:pPr>
        <w:snapToGrid w:val="0"/>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三</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九</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经办机构落实</w:t>
      </w:r>
      <w:r>
        <w:rPr>
          <w:rFonts w:hint="eastAsia" w:ascii="Times New Roman" w:hAnsi="Times New Roman" w:eastAsia="仿宋_GB2312" w:cs="Times New Roman"/>
          <w:sz w:val="32"/>
          <w:szCs w:val="32"/>
        </w:rPr>
        <w:t>定点</w:t>
      </w:r>
      <w:r>
        <w:rPr>
          <w:rFonts w:ascii="Times New Roman" w:hAnsi="Times New Roman" w:eastAsia="仿宋_GB2312" w:cs="Times New Roman"/>
          <w:sz w:val="32"/>
          <w:szCs w:val="32"/>
        </w:rPr>
        <w:t>评估机构和服务机构协议管理、核查考核、费用审核结算等工作。</w:t>
      </w:r>
    </w:p>
    <w:p w14:paraId="0D70AE16">
      <w:pPr>
        <w:snapToGrid w:val="0"/>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四</w:t>
      </w:r>
      <w:r>
        <w:rPr>
          <w:rFonts w:ascii="Times New Roman" w:hAnsi="Times New Roman" w:eastAsia="仿宋_GB2312" w:cs="Times New Roman"/>
          <w:b/>
          <w:sz w:val="32"/>
          <w:szCs w:val="32"/>
        </w:rPr>
        <w:t>十条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定点</w:t>
      </w:r>
      <w:r>
        <w:rPr>
          <w:rFonts w:ascii="Times New Roman" w:hAnsi="Times New Roman" w:eastAsia="仿宋_GB2312" w:cs="Times New Roman"/>
          <w:sz w:val="32"/>
          <w:szCs w:val="32"/>
        </w:rPr>
        <w:t>评估机构、长护险护理服务机构（以下简称“长护服务机构”）向经办机构按月申请结算，经办机构按协议约定及时足额向定点机构拨付长护险费用。对申报费用经审查核实违规的，不予支付。</w:t>
      </w:r>
    </w:p>
    <w:p w14:paraId="36D32E20">
      <w:pPr>
        <w:snapToGrid w:val="0"/>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四</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一</w:t>
      </w:r>
      <w:r>
        <w:rPr>
          <w:rFonts w:ascii="Times New Roman" w:hAnsi="Times New Roman" w:eastAsia="仿宋_GB2312" w:cs="Times New Roman"/>
          <w:b/>
          <w:sz w:val="32"/>
          <w:szCs w:val="32"/>
        </w:rPr>
        <w:t>条</w:t>
      </w:r>
      <w:r>
        <w:rPr>
          <w:rFonts w:hint="eastAsia" w:ascii="Times New Roman" w:hAnsi="Times New Roman" w:eastAsia="仿宋_GB2312" w:cs="Times New Roman"/>
          <w:sz w:val="32"/>
          <w:szCs w:val="32"/>
        </w:rPr>
        <w:t xml:space="preserve"> 在经办机构指导下，</w:t>
      </w:r>
      <w:r>
        <w:rPr>
          <w:rFonts w:ascii="Times New Roman" w:hAnsi="Times New Roman" w:eastAsia="仿宋_GB2312" w:cs="Times New Roman"/>
          <w:sz w:val="32"/>
          <w:szCs w:val="32"/>
        </w:rPr>
        <w:t>参与经办的</w:t>
      </w:r>
      <w:r>
        <w:rPr>
          <w:rFonts w:hint="eastAsia" w:ascii="Times New Roman" w:hAnsi="Times New Roman" w:eastAsia="仿宋_GB2312" w:cs="Times New Roman"/>
          <w:sz w:val="32"/>
          <w:szCs w:val="32"/>
        </w:rPr>
        <w:t>第三方机构协助开展以下业务：</w:t>
      </w:r>
    </w:p>
    <w:p w14:paraId="5E9D5AF0">
      <w:pPr>
        <w:snapToGrid w:val="0"/>
        <w:spacing w:line="56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（一）政策宣传与咨询、投诉举报线索受理；</w:t>
      </w:r>
    </w:p>
    <w:p w14:paraId="55B696CE">
      <w:pPr>
        <w:snapToGrid w:val="0"/>
        <w:spacing w:line="56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（二）配合开展申请受理及材料审核工作；</w:t>
      </w:r>
    </w:p>
    <w:p w14:paraId="58C45312">
      <w:pPr>
        <w:snapToGrid w:val="0"/>
        <w:spacing w:line="56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（三）参与失能评估和护理需求评估工作。派长护专员监督现场评估实施，并结合护理服务建议，与定点长护服务机构和参保人员或其监护人、委托代理人沟通协调，形成护理服务计划；</w:t>
      </w:r>
    </w:p>
    <w:p w14:paraId="7EB3CB80">
      <w:pPr>
        <w:snapToGrid w:val="0"/>
        <w:spacing w:line="56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（四）协助开展失能等级评估机构和长护服务机构定点申请受理、材料初审、综合审核以及失能评估费用、护理服务费用初审等事务性工作；</w:t>
      </w:r>
    </w:p>
    <w:p w14:paraId="5292F844">
      <w:pPr>
        <w:snapToGrid w:val="0"/>
        <w:spacing w:line="56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（五）协助做好定点评估机构和定点长护服务机构日常检查、评估结论及参保人员失能状态抽查、服务质量检查等工作；</w:t>
      </w:r>
    </w:p>
    <w:p w14:paraId="6B4B31D3">
      <w:pPr>
        <w:snapToGrid w:val="0"/>
        <w:spacing w:line="56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（六）协助开展异议复评、重新评估等工作；</w:t>
      </w:r>
    </w:p>
    <w:p w14:paraId="3EC365C9">
      <w:pPr>
        <w:snapToGrid w:val="0"/>
        <w:spacing w:line="56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（七）协助做好信息系统运用和档案管理工作；</w:t>
      </w:r>
    </w:p>
    <w:p w14:paraId="6924ACDA">
      <w:pPr>
        <w:snapToGrid w:val="0"/>
        <w:spacing w:line="56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（八）协助做好相关业务培训及合同约定的其他工作。</w:t>
      </w:r>
    </w:p>
    <w:p w14:paraId="3F08296C">
      <w:pPr>
        <w:snapToGrid w:val="0"/>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四</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二</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参与经办的第三方机构应设置与长护险经办服务相适应的组织架构，根据需要合理配置人员、科学设置服务岗位、统一规范服务场所设施和服务规程。应建立内部控制管理制度，明确工作人员岗位权限，加强人员管理、考核和培训。应建立长护险信息安全管理制度，明确信息安全管理责任，确保信息安全。</w:t>
      </w:r>
    </w:p>
    <w:p w14:paraId="387CA58A">
      <w:pPr>
        <w:snapToGrid w:val="0"/>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四</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三</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完善对</w:t>
      </w:r>
      <w:r>
        <w:rPr>
          <w:rFonts w:hint="eastAsia" w:ascii="Times New Roman" w:hAnsi="Times New Roman" w:eastAsia="仿宋_GB2312" w:cs="Times New Roman"/>
          <w:sz w:val="32"/>
          <w:szCs w:val="32"/>
        </w:rPr>
        <w:t>定点</w:t>
      </w:r>
      <w:r>
        <w:rPr>
          <w:rFonts w:ascii="Times New Roman" w:hAnsi="Times New Roman" w:eastAsia="仿宋_GB2312" w:cs="Times New Roman"/>
          <w:sz w:val="32"/>
          <w:szCs w:val="32"/>
        </w:rPr>
        <w:t>评估机构、</w:t>
      </w:r>
      <w:r>
        <w:rPr>
          <w:rFonts w:hint="eastAsia" w:ascii="Times New Roman" w:hAnsi="Times New Roman" w:eastAsia="仿宋_GB2312" w:cs="Times New Roman"/>
          <w:sz w:val="32"/>
          <w:szCs w:val="32"/>
        </w:rPr>
        <w:t>长</w:t>
      </w:r>
      <w:r>
        <w:rPr>
          <w:rFonts w:ascii="Times New Roman" w:hAnsi="Times New Roman" w:eastAsia="仿宋_GB2312" w:cs="Times New Roman"/>
          <w:sz w:val="32"/>
          <w:szCs w:val="32"/>
        </w:rPr>
        <w:t>护服务机构和参与经办的第三方机构的考核评价和激励约束机制，强化考核结果应用，提高管理服务质效。健全经办规程和服务标准，优化服务流程。</w:t>
      </w:r>
    </w:p>
    <w:p w14:paraId="136C4F82">
      <w:pPr>
        <w:snapToGrid w:val="0"/>
        <w:spacing w:line="560" w:lineRule="exact"/>
        <w:ind w:firstLine="643" w:firstLineChars="200"/>
        <w:contextualSpacing/>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四</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四</w:t>
      </w:r>
      <w:r>
        <w:rPr>
          <w:rFonts w:ascii="Times New Roman" w:hAnsi="Times New Roman" w:eastAsia="仿宋_GB2312" w:cs="Times New Roman"/>
          <w:b/>
          <w:sz w:val="32"/>
          <w:szCs w:val="32"/>
        </w:rPr>
        <w:t>条</w:t>
      </w:r>
      <w:r>
        <w:rPr>
          <w:rFonts w:hint="eastAsia" w:ascii="Times New Roman" w:hAnsi="Times New Roman" w:eastAsia="仿宋_GB2312" w:cs="Times New Roman"/>
          <w:b/>
          <w:sz w:val="32"/>
          <w:szCs w:val="32"/>
        </w:rPr>
        <w:t xml:space="preserve"> </w:t>
      </w:r>
      <w:r>
        <w:rPr>
          <w:rFonts w:hint="eastAsia" w:ascii="Times New Roman" w:hAnsi="Times New Roman" w:eastAsia="仿宋_GB2312" w:cs="Times New Roman"/>
          <w:sz w:val="32"/>
          <w:szCs w:val="32"/>
        </w:rPr>
        <w:t>组建长护险专家库，遴选入库专家坚持面向社会、平等公开、择优入库的原则，实施动态管理。开展长护险领域政策研究、意见咨询、课题委托、调查研究、宣传培训等工作需要合作的专家，原则上应从本级或上级专家库中选取。</w:t>
      </w:r>
    </w:p>
    <w:p w14:paraId="0B945F91">
      <w:pPr>
        <w:spacing w:line="560" w:lineRule="exact"/>
        <w:contextualSpacing/>
        <w:jc w:val="center"/>
        <w:outlineLvl w:val="2"/>
        <w:rPr>
          <w:rFonts w:ascii="Times New Roman" w:hAnsi="Times New Roman" w:eastAsia="仿宋_GB2312" w:cs="Times New Roman"/>
          <w:sz w:val="32"/>
          <w:szCs w:val="32"/>
        </w:rPr>
      </w:pPr>
      <w:r>
        <w:rPr>
          <w:rFonts w:ascii="Times New Roman" w:hAnsi="Times New Roman" w:eastAsia="仿宋_GB2312" w:cs="Times New Roman"/>
          <w:b/>
          <w:sz w:val="32"/>
          <w:szCs w:val="32"/>
        </w:rPr>
        <w:t>第九章 考核与监督</w:t>
      </w:r>
      <w:bookmarkEnd w:id="10"/>
    </w:p>
    <w:p w14:paraId="6E4A01D7">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第四十</w:t>
      </w:r>
      <w:r>
        <w:rPr>
          <w:rFonts w:hint="eastAsia" w:ascii="Times New Roman" w:hAnsi="Times New Roman" w:eastAsia="仿宋_GB2312" w:cs="Times New Roman"/>
          <w:b/>
          <w:sz w:val="32"/>
          <w:szCs w:val="32"/>
        </w:rPr>
        <w:t>五</w:t>
      </w:r>
      <w:r>
        <w:rPr>
          <w:rFonts w:ascii="Times New Roman" w:hAnsi="Times New Roman" w:eastAsia="仿宋_GB2312" w:cs="Times New Roman"/>
          <w:b/>
          <w:sz w:val="32"/>
          <w:szCs w:val="32"/>
        </w:rPr>
        <w:t>条</w:t>
      </w:r>
      <w:r>
        <w:rPr>
          <w:rFonts w:hint="eastAsia" w:ascii="Times New Roman" w:hAnsi="Times New Roman" w:eastAsia="仿宋_GB2312" w:cs="Times New Roman"/>
          <w:b/>
          <w:sz w:val="32"/>
          <w:szCs w:val="32"/>
        </w:rPr>
        <w:t xml:space="preserve"> </w:t>
      </w:r>
      <w:r>
        <w:rPr>
          <w:rFonts w:hint="eastAsia" w:ascii="Times New Roman" w:hAnsi="Times New Roman" w:eastAsia="仿宋_GB2312" w:cs="Times New Roman"/>
          <w:sz w:val="32"/>
          <w:szCs w:val="32"/>
        </w:rPr>
        <w:t>经办机构通过建立违约金机制等，加强对定点机构协议履行、服务质量等情况的考核，并建立动态管理机制。考核结果按规定与费用拨付、年终清算、协议续签等挂钩。考核情况报同级医疗保障行政部门。</w:t>
      </w:r>
    </w:p>
    <w:p w14:paraId="459745A6">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第四十</w:t>
      </w:r>
      <w:r>
        <w:rPr>
          <w:rFonts w:hint="eastAsia" w:ascii="Times New Roman" w:hAnsi="Times New Roman" w:eastAsia="仿宋_GB2312" w:cs="Times New Roman"/>
          <w:b/>
          <w:sz w:val="32"/>
          <w:szCs w:val="32"/>
        </w:rPr>
        <w:t>六</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经办机构</w:t>
      </w:r>
      <w:r>
        <w:rPr>
          <w:rFonts w:hint="eastAsia" w:ascii="Times New Roman" w:hAnsi="Times New Roman" w:eastAsia="仿宋_GB2312" w:cs="Times New Roman"/>
          <w:sz w:val="32"/>
          <w:szCs w:val="32"/>
        </w:rPr>
        <w:t>要</w:t>
      </w:r>
      <w:r>
        <w:rPr>
          <w:rFonts w:ascii="Times New Roman" w:hAnsi="Times New Roman" w:eastAsia="仿宋_GB2312" w:cs="Times New Roman"/>
          <w:sz w:val="32"/>
          <w:szCs w:val="32"/>
        </w:rPr>
        <w:t>发挥智能审核作用，加强对长护险基金的运行监测和异常数据筛查。定点评估机构、定点长护服务机构</w:t>
      </w:r>
      <w:r>
        <w:rPr>
          <w:rFonts w:hint="eastAsia" w:ascii="Times New Roman" w:hAnsi="Times New Roman" w:eastAsia="仿宋_GB2312" w:cs="Times New Roman"/>
          <w:sz w:val="32"/>
          <w:szCs w:val="32"/>
        </w:rPr>
        <w:t>和参与经办的第三方机构</w:t>
      </w:r>
      <w:r>
        <w:rPr>
          <w:rFonts w:ascii="Times New Roman" w:hAnsi="Times New Roman" w:eastAsia="仿宋_GB2312" w:cs="Times New Roman"/>
          <w:sz w:val="32"/>
          <w:szCs w:val="32"/>
        </w:rPr>
        <w:t>违反长护险相关规定和服务协议约定的，由经办机构追回违规费用，按照服务协议及时处理；涉及</w:t>
      </w:r>
      <w:r>
        <w:rPr>
          <w:rFonts w:hint="eastAsia" w:ascii="Times New Roman" w:hAnsi="Times New Roman" w:eastAsia="仿宋_GB2312" w:cs="Times New Roman"/>
          <w:sz w:val="32"/>
          <w:szCs w:val="32"/>
        </w:rPr>
        <w:t>违反《医疗保障基金使用监督管理条例实施细则》等相关法律法规</w:t>
      </w:r>
      <w:r>
        <w:rPr>
          <w:rFonts w:ascii="Times New Roman" w:hAnsi="Times New Roman" w:eastAsia="仿宋_GB2312" w:cs="Times New Roman"/>
          <w:sz w:val="32"/>
          <w:szCs w:val="32"/>
        </w:rPr>
        <w:t>的，移交医疗保障行政部门；涉嫌犯罪的，由医疗保障行政部门移交司法机关追究刑事责任；涉及其他部门职责的，移交相关部门。</w:t>
      </w:r>
    </w:p>
    <w:p w14:paraId="298229C3">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第四十</w:t>
      </w:r>
      <w:r>
        <w:rPr>
          <w:rFonts w:hint="eastAsia" w:ascii="Times New Roman" w:hAnsi="Times New Roman" w:eastAsia="仿宋_GB2312" w:cs="Times New Roman"/>
          <w:b/>
          <w:sz w:val="32"/>
          <w:szCs w:val="32"/>
        </w:rPr>
        <w:t>七</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定点评估机构、定点长护服务机构、参与经办的第三方机构在协议签订、履行、变更、解除及考核核查等过程中，对经办机构的处理决定有争议的，可以向</w:t>
      </w:r>
      <w:r>
        <w:rPr>
          <w:rFonts w:hint="eastAsia" w:ascii="Times New Roman" w:hAnsi="Times New Roman" w:eastAsia="仿宋_GB2312" w:cs="Times New Roman"/>
          <w:sz w:val="32"/>
          <w:szCs w:val="32"/>
        </w:rPr>
        <w:t>同级</w:t>
      </w:r>
      <w:r>
        <w:rPr>
          <w:rFonts w:ascii="Times New Roman" w:hAnsi="Times New Roman" w:eastAsia="仿宋_GB2312" w:cs="Times New Roman"/>
          <w:sz w:val="32"/>
          <w:szCs w:val="32"/>
        </w:rPr>
        <w:t>医疗保障行政部门提起申诉，也可以依法提起行政复议或行政诉讼。</w:t>
      </w:r>
    </w:p>
    <w:p w14:paraId="096479FC">
      <w:pPr>
        <w:spacing w:line="560" w:lineRule="exact"/>
        <w:ind w:firstLine="643" w:firstLineChars="200"/>
        <w:contextualSpacing/>
        <w:outlineLvl w:val="2"/>
        <w:rPr>
          <w:rFonts w:ascii="Times New Roman" w:hAnsi="Times New Roman" w:eastAsia="仿宋_GB2312" w:cs="Times New Roman"/>
          <w:sz w:val="32"/>
          <w:szCs w:val="32"/>
        </w:rPr>
      </w:pPr>
      <w:r>
        <w:rPr>
          <w:rFonts w:ascii="Times New Roman" w:hAnsi="Times New Roman" w:eastAsia="仿宋_GB2312" w:cs="Times New Roman"/>
          <w:b/>
          <w:sz w:val="32"/>
          <w:szCs w:val="32"/>
        </w:rPr>
        <w:t>第四十</w:t>
      </w:r>
      <w:r>
        <w:rPr>
          <w:rFonts w:hint="eastAsia" w:ascii="Times New Roman" w:hAnsi="Times New Roman" w:eastAsia="仿宋_GB2312" w:cs="Times New Roman"/>
          <w:b/>
          <w:sz w:val="32"/>
          <w:szCs w:val="32"/>
        </w:rPr>
        <w:t>八</w:t>
      </w:r>
      <w:r>
        <w:rPr>
          <w:rFonts w:ascii="Times New Roman" w:hAnsi="Times New Roman" w:eastAsia="仿宋_GB2312" w:cs="Times New Roman"/>
          <w:b/>
          <w:sz w:val="32"/>
          <w:szCs w:val="32"/>
        </w:rPr>
        <w:t>条</w:t>
      </w:r>
      <w:bookmarkStart w:id="11" w:name="heading_18"/>
      <w:r>
        <w:rPr>
          <w:rFonts w:ascii="Times New Roman" w:hAnsi="Times New Roman" w:eastAsia="仿宋_GB2312" w:cs="Times New Roman"/>
          <w:b/>
          <w:sz w:val="32"/>
          <w:szCs w:val="32"/>
        </w:rPr>
        <w:t xml:space="preserve"> </w:t>
      </w:r>
      <w:r>
        <w:rPr>
          <w:rFonts w:ascii="Times New Roman" w:hAnsi="Times New Roman" w:eastAsia="仿宋_GB2312" w:cs="Times New Roman"/>
          <w:sz w:val="32"/>
          <w:szCs w:val="32"/>
        </w:rPr>
        <w:t>建立健全长护险基金监管机制，落实监管主体责任，细化监督内容，将</w:t>
      </w:r>
      <w:r>
        <w:rPr>
          <w:rFonts w:hint="eastAsia" w:ascii="Times New Roman" w:hAnsi="Times New Roman" w:eastAsia="仿宋_GB2312" w:cs="Times New Roman"/>
          <w:sz w:val="32"/>
          <w:szCs w:val="32"/>
        </w:rPr>
        <w:t>定点</w:t>
      </w:r>
      <w:r>
        <w:rPr>
          <w:rFonts w:ascii="Times New Roman" w:hAnsi="Times New Roman" w:eastAsia="仿宋_GB2312" w:cs="Times New Roman"/>
          <w:sz w:val="32"/>
          <w:szCs w:val="32"/>
        </w:rPr>
        <w:t>长护服务机构、</w:t>
      </w:r>
      <w:r>
        <w:rPr>
          <w:rFonts w:hint="eastAsia" w:ascii="Times New Roman" w:hAnsi="Times New Roman" w:eastAsia="仿宋_GB2312" w:cs="Times New Roman"/>
          <w:sz w:val="32"/>
          <w:szCs w:val="32"/>
        </w:rPr>
        <w:t>定点</w:t>
      </w:r>
      <w:r>
        <w:rPr>
          <w:rFonts w:ascii="Times New Roman" w:hAnsi="Times New Roman" w:eastAsia="仿宋_GB2312" w:cs="Times New Roman"/>
          <w:sz w:val="32"/>
          <w:szCs w:val="32"/>
        </w:rPr>
        <w:t>评估机构及其从业人员、参保人员等纳入监管范围</w:t>
      </w:r>
      <w:r>
        <w:rPr>
          <w:rFonts w:hint="eastAsia" w:ascii="Times New Roman" w:hAnsi="Times New Roman" w:eastAsia="仿宋_GB2312" w:cs="Times New Roman"/>
          <w:sz w:val="32"/>
          <w:szCs w:val="32"/>
        </w:rPr>
        <w:t>，引入和完善第三方工作机制，协助对评估认定、经办服务、长护服务等行为监管。</w:t>
      </w:r>
      <w:r>
        <w:rPr>
          <w:rFonts w:ascii="Times New Roman" w:hAnsi="Times New Roman" w:eastAsia="仿宋_GB2312" w:cs="Times New Roman"/>
          <w:sz w:val="32"/>
          <w:szCs w:val="32"/>
        </w:rPr>
        <w:t>完善举报投诉、信息披露、内部控制、动态退出等风险管理制度，加强财会监督和审计监督，严肃财经纪律，确保基金安全、有效使用。</w:t>
      </w:r>
    </w:p>
    <w:p w14:paraId="6A585AFF">
      <w:pPr>
        <w:spacing w:line="560" w:lineRule="exact"/>
        <w:contextualSpacing/>
        <w:jc w:val="center"/>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第十章 </w:t>
      </w:r>
      <w:bookmarkEnd w:id="11"/>
      <w:r>
        <w:rPr>
          <w:rFonts w:ascii="Times New Roman" w:hAnsi="Times New Roman" w:eastAsia="仿宋_GB2312" w:cs="Times New Roman"/>
          <w:b/>
          <w:sz w:val="32"/>
          <w:szCs w:val="32"/>
        </w:rPr>
        <w:t>附则</w:t>
      </w:r>
    </w:p>
    <w:p w14:paraId="5F93DE65">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四</w:t>
      </w:r>
      <w:r>
        <w:rPr>
          <w:rFonts w:ascii="Times New Roman" w:hAnsi="Times New Roman" w:eastAsia="仿宋_GB2312" w:cs="Times New Roman"/>
          <w:b/>
          <w:sz w:val="32"/>
          <w:szCs w:val="32"/>
        </w:rPr>
        <w:t>十</w:t>
      </w:r>
      <w:r>
        <w:rPr>
          <w:rFonts w:hint="eastAsia" w:ascii="Times New Roman" w:hAnsi="Times New Roman" w:eastAsia="仿宋_GB2312" w:cs="Times New Roman"/>
          <w:b/>
          <w:sz w:val="32"/>
          <w:szCs w:val="32"/>
        </w:rPr>
        <w:t>九</w:t>
      </w:r>
      <w:r>
        <w:rPr>
          <w:rFonts w:ascii="Times New Roman" w:hAnsi="Times New Roman" w:eastAsia="仿宋_GB2312" w:cs="Times New Roman"/>
          <w:b/>
          <w:sz w:val="32"/>
          <w:szCs w:val="32"/>
        </w:rPr>
        <w:t xml:space="preserve">条 </w:t>
      </w:r>
      <w:r>
        <w:rPr>
          <w:rFonts w:ascii="Times New Roman" w:hAnsi="Times New Roman" w:eastAsia="仿宋_GB2312" w:cs="Times New Roman"/>
          <w:sz w:val="32"/>
          <w:szCs w:val="32"/>
        </w:rPr>
        <w:t>本实施细则实施过程中，国家、自治区另有规定的，从其规定。</w:t>
      </w:r>
      <w:r>
        <w:rPr>
          <w:rFonts w:hint="eastAsia" w:ascii="Times New Roman" w:hAnsi="Times New Roman" w:eastAsia="仿宋_GB2312" w:cs="Times New Roman"/>
          <w:sz w:val="32"/>
          <w:szCs w:val="32"/>
        </w:rPr>
        <w:t>州</w:t>
      </w:r>
      <w:r>
        <w:rPr>
          <w:rFonts w:ascii="Times New Roman" w:hAnsi="Times New Roman" w:eastAsia="仿宋_GB2312" w:cs="Times New Roman"/>
          <w:sz w:val="32"/>
          <w:szCs w:val="32"/>
        </w:rPr>
        <w:t>医疗保障</w:t>
      </w:r>
      <w:r>
        <w:rPr>
          <w:rFonts w:hint="eastAsia" w:ascii="Times New Roman" w:hAnsi="Times New Roman" w:eastAsia="仿宋_GB2312" w:cs="Times New Roman"/>
          <w:sz w:val="32"/>
          <w:szCs w:val="32"/>
        </w:rPr>
        <w:t>局</w:t>
      </w:r>
      <w:r>
        <w:rPr>
          <w:rFonts w:ascii="Times New Roman" w:hAnsi="Times New Roman" w:eastAsia="仿宋_GB2312" w:cs="Times New Roman"/>
          <w:sz w:val="32"/>
          <w:szCs w:val="32"/>
        </w:rPr>
        <w:t>会同相关部门，根据有关政策适时调整完善本实施细则。</w:t>
      </w:r>
    </w:p>
    <w:p w14:paraId="4405DABE">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w:t>
      </w:r>
      <w:r>
        <w:rPr>
          <w:rFonts w:hint="eastAsia" w:ascii="Times New Roman" w:hAnsi="Times New Roman" w:eastAsia="仿宋_GB2312" w:cs="Times New Roman"/>
          <w:b/>
          <w:sz w:val="32"/>
          <w:szCs w:val="32"/>
        </w:rPr>
        <w:t>五</w:t>
      </w:r>
      <w:r>
        <w:rPr>
          <w:rFonts w:ascii="Times New Roman" w:hAnsi="Times New Roman" w:eastAsia="仿宋_GB2312" w:cs="Times New Roman"/>
          <w:b/>
          <w:sz w:val="32"/>
          <w:szCs w:val="32"/>
        </w:rPr>
        <w:t>十条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本实施细则由</w:t>
      </w:r>
      <w:r>
        <w:rPr>
          <w:rFonts w:hint="eastAsia" w:ascii="Times New Roman" w:hAnsi="Times New Roman" w:eastAsia="仿宋_GB2312" w:cs="Times New Roman"/>
          <w:sz w:val="32"/>
          <w:szCs w:val="32"/>
        </w:rPr>
        <w:t>州</w:t>
      </w:r>
      <w:r>
        <w:rPr>
          <w:rFonts w:ascii="Times New Roman" w:hAnsi="Times New Roman" w:eastAsia="仿宋_GB2312" w:cs="Times New Roman"/>
          <w:sz w:val="32"/>
          <w:szCs w:val="32"/>
        </w:rPr>
        <w:t>医疗保障</w:t>
      </w:r>
      <w:r>
        <w:rPr>
          <w:rFonts w:hint="eastAsia" w:ascii="Times New Roman" w:hAnsi="Times New Roman" w:eastAsia="仿宋_GB2312" w:cs="Times New Roman"/>
          <w:sz w:val="32"/>
          <w:szCs w:val="32"/>
        </w:rPr>
        <w:t>局</w:t>
      </w:r>
      <w:r>
        <w:rPr>
          <w:rFonts w:ascii="Times New Roman" w:hAnsi="Times New Roman" w:eastAsia="仿宋_GB2312" w:cs="Times New Roman"/>
          <w:sz w:val="32"/>
          <w:szCs w:val="32"/>
        </w:rPr>
        <w:t>负责解释。</w:t>
      </w:r>
    </w:p>
    <w:p w14:paraId="524D8FAE">
      <w:pPr>
        <w:spacing w:line="560" w:lineRule="exact"/>
        <w:ind w:firstLine="643" w:firstLineChars="200"/>
        <w:contextualSpacing/>
        <w:rPr>
          <w:rFonts w:ascii="Times New Roman" w:hAnsi="Times New Roman" w:eastAsia="仿宋_GB2312" w:cs="Times New Roman"/>
          <w:sz w:val="32"/>
          <w:szCs w:val="32"/>
        </w:rPr>
      </w:pPr>
      <w:r>
        <w:rPr>
          <w:rFonts w:ascii="Times New Roman" w:hAnsi="Times New Roman" w:eastAsia="仿宋_GB2312" w:cs="Times New Roman"/>
          <w:b/>
          <w:sz w:val="32"/>
          <w:szCs w:val="32"/>
        </w:rPr>
        <w:t>第五十</w:t>
      </w:r>
      <w:r>
        <w:rPr>
          <w:rFonts w:hint="eastAsia" w:ascii="Times New Roman" w:hAnsi="Times New Roman" w:eastAsia="仿宋_GB2312" w:cs="Times New Roman"/>
          <w:b/>
          <w:sz w:val="32"/>
          <w:szCs w:val="32"/>
        </w:rPr>
        <w:t>一</w:t>
      </w:r>
      <w:r>
        <w:rPr>
          <w:rFonts w:ascii="Times New Roman" w:hAnsi="Times New Roman" w:eastAsia="仿宋_GB2312" w:cs="Times New Roman"/>
          <w:b/>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本实施细则自印发之日起施行。</w:t>
      </w:r>
    </w:p>
    <w:sectPr>
      <w:footerReference r:id="rId3" w:type="default"/>
      <w:pgSz w:w="11905" w:h="16840"/>
      <w:pgMar w:top="2098" w:right="1587"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0942E023">
        <w:pPr>
          <w:pStyle w:val="6"/>
          <w:jc w:val="center"/>
        </w:pPr>
        <w:r>
          <w:fldChar w:fldCharType="begin"/>
        </w:r>
        <w:r>
          <w:instrText xml:space="preserve">PAGE   \* MERGEFORMAT</w:instrText>
        </w:r>
        <w:r>
          <w:fldChar w:fldCharType="separate"/>
        </w:r>
        <w:r>
          <w:rPr>
            <w:lang w:val="zh-CN"/>
          </w:rPr>
          <w:t>18</w:t>
        </w:r>
        <w:r>
          <w:fldChar w:fldCharType="end"/>
        </w:r>
      </w:p>
    </w:sdtContent>
  </w:sdt>
  <w:p w14:paraId="4E478F6E"/>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2C60E"/>
    <w:multiLevelType w:val="singleLevel"/>
    <w:tmpl w:val="80D2C60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349"/>
    <w:rsid w:val="0000091B"/>
    <w:rsid w:val="00002471"/>
    <w:rsid w:val="00011179"/>
    <w:rsid w:val="0001346F"/>
    <w:rsid w:val="00016A5C"/>
    <w:rsid w:val="000179C4"/>
    <w:rsid w:val="00017C6F"/>
    <w:rsid w:val="00020984"/>
    <w:rsid w:val="00022A2B"/>
    <w:rsid w:val="00023866"/>
    <w:rsid w:val="00023EEA"/>
    <w:rsid w:val="00026CFD"/>
    <w:rsid w:val="00027063"/>
    <w:rsid w:val="000278E6"/>
    <w:rsid w:val="000311F1"/>
    <w:rsid w:val="000327A9"/>
    <w:rsid w:val="00032F42"/>
    <w:rsid w:val="00034459"/>
    <w:rsid w:val="00037302"/>
    <w:rsid w:val="000379D5"/>
    <w:rsid w:val="00037F86"/>
    <w:rsid w:val="000428D0"/>
    <w:rsid w:val="00050B20"/>
    <w:rsid w:val="0005219D"/>
    <w:rsid w:val="00056BF9"/>
    <w:rsid w:val="000726BB"/>
    <w:rsid w:val="000849D6"/>
    <w:rsid w:val="0008629D"/>
    <w:rsid w:val="0008675A"/>
    <w:rsid w:val="00087F1C"/>
    <w:rsid w:val="0009326E"/>
    <w:rsid w:val="00096315"/>
    <w:rsid w:val="000A0F50"/>
    <w:rsid w:val="000A35DC"/>
    <w:rsid w:val="000B26A8"/>
    <w:rsid w:val="000B31D8"/>
    <w:rsid w:val="000B436A"/>
    <w:rsid w:val="000B4F0D"/>
    <w:rsid w:val="000C01F5"/>
    <w:rsid w:val="000C2CBE"/>
    <w:rsid w:val="000C4075"/>
    <w:rsid w:val="000C50C6"/>
    <w:rsid w:val="000C59FC"/>
    <w:rsid w:val="000C7A36"/>
    <w:rsid w:val="000D0E0B"/>
    <w:rsid w:val="000D7B69"/>
    <w:rsid w:val="000D7CC9"/>
    <w:rsid w:val="000D7EBC"/>
    <w:rsid w:val="000E129E"/>
    <w:rsid w:val="000E14B7"/>
    <w:rsid w:val="000E2666"/>
    <w:rsid w:val="000E4F70"/>
    <w:rsid w:val="000E6EFF"/>
    <w:rsid w:val="000E71CE"/>
    <w:rsid w:val="000F50F6"/>
    <w:rsid w:val="000F6318"/>
    <w:rsid w:val="000F7A42"/>
    <w:rsid w:val="0010069D"/>
    <w:rsid w:val="001007ED"/>
    <w:rsid w:val="00106AF7"/>
    <w:rsid w:val="0011046A"/>
    <w:rsid w:val="0011725B"/>
    <w:rsid w:val="00121DD6"/>
    <w:rsid w:val="00122DF6"/>
    <w:rsid w:val="001242D8"/>
    <w:rsid w:val="00130496"/>
    <w:rsid w:val="001352CB"/>
    <w:rsid w:val="00143663"/>
    <w:rsid w:val="001456E1"/>
    <w:rsid w:val="0014710B"/>
    <w:rsid w:val="00151A3D"/>
    <w:rsid w:val="00156EB3"/>
    <w:rsid w:val="00161A69"/>
    <w:rsid w:val="00163AAB"/>
    <w:rsid w:val="00164366"/>
    <w:rsid w:val="00165E6F"/>
    <w:rsid w:val="001721AE"/>
    <w:rsid w:val="00172ABD"/>
    <w:rsid w:val="00174554"/>
    <w:rsid w:val="001760FF"/>
    <w:rsid w:val="001813A3"/>
    <w:rsid w:val="0018275B"/>
    <w:rsid w:val="0018290A"/>
    <w:rsid w:val="001835FE"/>
    <w:rsid w:val="00187419"/>
    <w:rsid w:val="00194BDD"/>
    <w:rsid w:val="00194DE3"/>
    <w:rsid w:val="001966BE"/>
    <w:rsid w:val="001A0A06"/>
    <w:rsid w:val="001B58CA"/>
    <w:rsid w:val="001B60C3"/>
    <w:rsid w:val="001B77F5"/>
    <w:rsid w:val="001C1BF0"/>
    <w:rsid w:val="001C5F8C"/>
    <w:rsid w:val="001D23B9"/>
    <w:rsid w:val="001D2583"/>
    <w:rsid w:val="001D58F9"/>
    <w:rsid w:val="001E1A0F"/>
    <w:rsid w:val="001E45BD"/>
    <w:rsid w:val="001E4853"/>
    <w:rsid w:val="001E4E12"/>
    <w:rsid w:val="001E5BE3"/>
    <w:rsid w:val="001F1325"/>
    <w:rsid w:val="001F135E"/>
    <w:rsid w:val="001F1B03"/>
    <w:rsid w:val="001F2C42"/>
    <w:rsid w:val="001F5D9D"/>
    <w:rsid w:val="001F63B7"/>
    <w:rsid w:val="001F7412"/>
    <w:rsid w:val="00200875"/>
    <w:rsid w:val="00202C51"/>
    <w:rsid w:val="002040B2"/>
    <w:rsid w:val="002124B8"/>
    <w:rsid w:val="00221FE5"/>
    <w:rsid w:val="002237CC"/>
    <w:rsid w:val="002330F0"/>
    <w:rsid w:val="002349C5"/>
    <w:rsid w:val="00234CA8"/>
    <w:rsid w:val="00234F13"/>
    <w:rsid w:val="00237339"/>
    <w:rsid w:val="00240218"/>
    <w:rsid w:val="00244B9C"/>
    <w:rsid w:val="0025397B"/>
    <w:rsid w:val="00256407"/>
    <w:rsid w:val="00260346"/>
    <w:rsid w:val="00261C86"/>
    <w:rsid w:val="002644D5"/>
    <w:rsid w:val="00265EB1"/>
    <w:rsid w:val="00265FFE"/>
    <w:rsid w:val="00266616"/>
    <w:rsid w:val="00270377"/>
    <w:rsid w:val="00271F76"/>
    <w:rsid w:val="002740BC"/>
    <w:rsid w:val="0028086D"/>
    <w:rsid w:val="00282C2E"/>
    <w:rsid w:val="00287175"/>
    <w:rsid w:val="00287D16"/>
    <w:rsid w:val="00290C1C"/>
    <w:rsid w:val="00292D45"/>
    <w:rsid w:val="00293239"/>
    <w:rsid w:val="00293D1A"/>
    <w:rsid w:val="00296126"/>
    <w:rsid w:val="002A1E23"/>
    <w:rsid w:val="002A572E"/>
    <w:rsid w:val="002A787A"/>
    <w:rsid w:val="002B3D28"/>
    <w:rsid w:val="002C4853"/>
    <w:rsid w:val="002C58C6"/>
    <w:rsid w:val="002C6985"/>
    <w:rsid w:val="002D09F0"/>
    <w:rsid w:val="002D0A67"/>
    <w:rsid w:val="002D2D30"/>
    <w:rsid w:val="002D2D8A"/>
    <w:rsid w:val="002D2DD9"/>
    <w:rsid w:val="002D33DB"/>
    <w:rsid w:val="002D69B7"/>
    <w:rsid w:val="002E322B"/>
    <w:rsid w:val="002E32AF"/>
    <w:rsid w:val="002F1529"/>
    <w:rsid w:val="002F4931"/>
    <w:rsid w:val="003008CD"/>
    <w:rsid w:val="003032B9"/>
    <w:rsid w:val="00305C19"/>
    <w:rsid w:val="00306A29"/>
    <w:rsid w:val="003100FD"/>
    <w:rsid w:val="003123BE"/>
    <w:rsid w:val="00312DE8"/>
    <w:rsid w:val="00321697"/>
    <w:rsid w:val="00325E96"/>
    <w:rsid w:val="00330DD0"/>
    <w:rsid w:val="00332976"/>
    <w:rsid w:val="003351D0"/>
    <w:rsid w:val="00336CEF"/>
    <w:rsid w:val="00341774"/>
    <w:rsid w:val="00347963"/>
    <w:rsid w:val="00360FA6"/>
    <w:rsid w:val="00367176"/>
    <w:rsid w:val="00367B56"/>
    <w:rsid w:val="00372BCF"/>
    <w:rsid w:val="003743A7"/>
    <w:rsid w:val="003801F6"/>
    <w:rsid w:val="00381283"/>
    <w:rsid w:val="00387975"/>
    <w:rsid w:val="00392028"/>
    <w:rsid w:val="00392146"/>
    <w:rsid w:val="00395523"/>
    <w:rsid w:val="00396F35"/>
    <w:rsid w:val="003A252E"/>
    <w:rsid w:val="003A3858"/>
    <w:rsid w:val="003B0DD3"/>
    <w:rsid w:val="003B56E8"/>
    <w:rsid w:val="003B7B72"/>
    <w:rsid w:val="003C0F1A"/>
    <w:rsid w:val="003C7775"/>
    <w:rsid w:val="003C7D12"/>
    <w:rsid w:val="003D475C"/>
    <w:rsid w:val="003E03F5"/>
    <w:rsid w:val="003E5977"/>
    <w:rsid w:val="003E6E52"/>
    <w:rsid w:val="003F079F"/>
    <w:rsid w:val="003F5699"/>
    <w:rsid w:val="003F7168"/>
    <w:rsid w:val="00400730"/>
    <w:rsid w:val="00403024"/>
    <w:rsid w:val="00403CFA"/>
    <w:rsid w:val="00405EE7"/>
    <w:rsid w:val="004118C4"/>
    <w:rsid w:val="004147E1"/>
    <w:rsid w:val="004242E7"/>
    <w:rsid w:val="00434357"/>
    <w:rsid w:val="00437CC6"/>
    <w:rsid w:val="0044060A"/>
    <w:rsid w:val="00443967"/>
    <w:rsid w:val="00445F30"/>
    <w:rsid w:val="004469A3"/>
    <w:rsid w:val="0045132B"/>
    <w:rsid w:val="0045153B"/>
    <w:rsid w:val="00451DB4"/>
    <w:rsid w:val="00452842"/>
    <w:rsid w:val="0045326B"/>
    <w:rsid w:val="0045746B"/>
    <w:rsid w:val="0045796D"/>
    <w:rsid w:val="004637B6"/>
    <w:rsid w:val="00463C62"/>
    <w:rsid w:val="004647E4"/>
    <w:rsid w:val="00464FA8"/>
    <w:rsid w:val="00467A21"/>
    <w:rsid w:val="004731EB"/>
    <w:rsid w:val="00475B6E"/>
    <w:rsid w:val="00476CA4"/>
    <w:rsid w:val="00477971"/>
    <w:rsid w:val="00477B6C"/>
    <w:rsid w:val="00481845"/>
    <w:rsid w:val="00483AA2"/>
    <w:rsid w:val="00490D2B"/>
    <w:rsid w:val="004A21D2"/>
    <w:rsid w:val="004A5B3F"/>
    <w:rsid w:val="004A5FF3"/>
    <w:rsid w:val="004A7F2D"/>
    <w:rsid w:val="004B2320"/>
    <w:rsid w:val="004B325F"/>
    <w:rsid w:val="004B46BE"/>
    <w:rsid w:val="004C35DA"/>
    <w:rsid w:val="004C44BF"/>
    <w:rsid w:val="004D0008"/>
    <w:rsid w:val="004D1852"/>
    <w:rsid w:val="004D3338"/>
    <w:rsid w:val="004D5225"/>
    <w:rsid w:val="004D6A60"/>
    <w:rsid w:val="004E1240"/>
    <w:rsid w:val="004E3C5A"/>
    <w:rsid w:val="004E49B0"/>
    <w:rsid w:val="004E5347"/>
    <w:rsid w:val="004E6018"/>
    <w:rsid w:val="004F05B8"/>
    <w:rsid w:val="004F1373"/>
    <w:rsid w:val="004F2B27"/>
    <w:rsid w:val="004F3721"/>
    <w:rsid w:val="004F4124"/>
    <w:rsid w:val="005038B6"/>
    <w:rsid w:val="00505068"/>
    <w:rsid w:val="005059C0"/>
    <w:rsid w:val="0050798A"/>
    <w:rsid w:val="0052006A"/>
    <w:rsid w:val="00520385"/>
    <w:rsid w:val="0052062A"/>
    <w:rsid w:val="005209F3"/>
    <w:rsid w:val="00521002"/>
    <w:rsid w:val="00522315"/>
    <w:rsid w:val="00526B9C"/>
    <w:rsid w:val="005331A0"/>
    <w:rsid w:val="00536963"/>
    <w:rsid w:val="00537FC6"/>
    <w:rsid w:val="00540F2B"/>
    <w:rsid w:val="00547041"/>
    <w:rsid w:val="005475CA"/>
    <w:rsid w:val="00560B08"/>
    <w:rsid w:val="005646A7"/>
    <w:rsid w:val="00566195"/>
    <w:rsid w:val="005667E6"/>
    <w:rsid w:val="005678FC"/>
    <w:rsid w:val="0057127F"/>
    <w:rsid w:val="00572830"/>
    <w:rsid w:val="00574EF6"/>
    <w:rsid w:val="005803C3"/>
    <w:rsid w:val="00580467"/>
    <w:rsid w:val="0058454E"/>
    <w:rsid w:val="00586C3C"/>
    <w:rsid w:val="00591314"/>
    <w:rsid w:val="005927F9"/>
    <w:rsid w:val="00595005"/>
    <w:rsid w:val="005B099E"/>
    <w:rsid w:val="005B13F1"/>
    <w:rsid w:val="005B6B75"/>
    <w:rsid w:val="005C012E"/>
    <w:rsid w:val="005C21EA"/>
    <w:rsid w:val="005C3994"/>
    <w:rsid w:val="005C4289"/>
    <w:rsid w:val="005C6CDE"/>
    <w:rsid w:val="005C7D7F"/>
    <w:rsid w:val="005D1659"/>
    <w:rsid w:val="005D603C"/>
    <w:rsid w:val="005D7A4C"/>
    <w:rsid w:val="005E4352"/>
    <w:rsid w:val="005E54A8"/>
    <w:rsid w:val="00600FBA"/>
    <w:rsid w:val="006043BD"/>
    <w:rsid w:val="00605FBB"/>
    <w:rsid w:val="00605FD2"/>
    <w:rsid w:val="00612628"/>
    <w:rsid w:val="00612EB0"/>
    <w:rsid w:val="006221C0"/>
    <w:rsid w:val="00624C9B"/>
    <w:rsid w:val="006250A7"/>
    <w:rsid w:val="006307CA"/>
    <w:rsid w:val="00632555"/>
    <w:rsid w:val="00632E28"/>
    <w:rsid w:val="00634C6D"/>
    <w:rsid w:val="00635879"/>
    <w:rsid w:val="0063673F"/>
    <w:rsid w:val="00643034"/>
    <w:rsid w:val="00645C96"/>
    <w:rsid w:val="006518B5"/>
    <w:rsid w:val="006522DC"/>
    <w:rsid w:val="0065277C"/>
    <w:rsid w:val="00654C6C"/>
    <w:rsid w:val="00657B1C"/>
    <w:rsid w:val="00662DEC"/>
    <w:rsid w:val="00663FE4"/>
    <w:rsid w:val="00664438"/>
    <w:rsid w:val="0067034C"/>
    <w:rsid w:val="00672194"/>
    <w:rsid w:val="006737F8"/>
    <w:rsid w:val="006803AD"/>
    <w:rsid w:val="00682FAE"/>
    <w:rsid w:val="00684950"/>
    <w:rsid w:val="00691B69"/>
    <w:rsid w:val="006923BC"/>
    <w:rsid w:val="00693F06"/>
    <w:rsid w:val="00694F75"/>
    <w:rsid w:val="0069726F"/>
    <w:rsid w:val="006A11AB"/>
    <w:rsid w:val="006A1C12"/>
    <w:rsid w:val="006A5EF8"/>
    <w:rsid w:val="006A60E2"/>
    <w:rsid w:val="006B05F0"/>
    <w:rsid w:val="006B1AF2"/>
    <w:rsid w:val="006B2B4A"/>
    <w:rsid w:val="006B3361"/>
    <w:rsid w:val="006B4268"/>
    <w:rsid w:val="006B5856"/>
    <w:rsid w:val="006C3C94"/>
    <w:rsid w:val="006C3E31"/>
    <w:rsid w:val="006C4E85"/>
    <w:rsid w:val="006D056F"/>
    <w:rsid w:val="006D1076"/>
    <w:rsid w:val="006D1F4B"/>
    <w:rsid w:val="006D39A9"/>
    <w:rsid w:val="006D6ECF"/>
    <w:rsid w:val="006D6F22"/>
    <w:rsid w:val="006E1CE6"/>
    <w:rsid w:val="006E5F98"/>
    <w:rsid w:val="006E6130"/>
    <w:rsid w:val="006E6468"/>
    <w:rsid w:val="006E6F26"/>
    <w:rsid w:val="006F19F9"/>
    <w:rsid w:val="006F1A0E"/>
    <w:rsid w:val="006F3210"/>
    <w:rsid w:val="00701292"/>
    <w:rsid w:val="00703748"/>
    <w:rsid w:val="007038A8"/>
    <w:rsid w:val="00703C59"/>
    <w:rsid w:val="00704BAE"/>
    <w:rsid w:val="00705A85"/>
    <w:rsid w:val="007068E0"/>
    <w:rsid w:val="00706C93"/>
    <w:rsid w:val="00707B01"/>
    <w:rsid w:val="0071019E"/>
    <w:rsid w:val="007134A4"/>
    <w:rsid w:val="00714F70"/>
    <w:rsid w:val="00716D2B"/>
    <w:rsid w:val="007170C1"/>
    <w:rsid w:val="007200A4"/>
    <w:rsid w:val="00720F53"/>
    <w:rsid w:val="00721B48"/>
    <w:rsid w:val="00722963"/>
    <w:rsid w:val="00730596"/>
    <w:rsid w:val="007365B3"/>
    <w:rsid w:val="00741013"/>
    <w:rsid w:val="007410C2"/>
    <w:rsid w:val="007416AF"/>
    <w:rsid w:val="00744DA0"/>
    <w:rsid w:val="00752CF9"/>
    <w:rsid w:val="007654EF"/>
    <w:rsid w:val="00766076"/>
    <w:rsid w:val="00772297"/>
    <w:rsid w:val="007854A4"/>
    <w:rsid w:val="00785CB6"/>
    <w:rsid w:val="007902CE"/>
    <w:rsid w:val="00793360"/>
    <w:rsid w:val="00795B00"/>
    <w:rsid w:val="007962BB"/>
    <w:rsid w:val="00797979"/>
    <w:rsid w:val="007C2C7C"/>
    <w:rsid w:val="007C613A"/>
    <w:rsid w:val="007D058D"/>
    <w:rsid w:val="007D734E"/>
    <w:rsid w:val="007E0187"/>
    <w:rsid w:val="007E69C9"/>
    <w:rsid w:val="007F3DF9"/>
    <w:rsid w:val="007F5694"/>
    <w:rsid w:val="007F6D56"/>
    <w:rsid w:val="0080139F"/>
    <w:rsid w:val="00802955"/>
    <w:rsid w:val="00802CFA"/>
    <w:rsid w:val="008033DE"/>
    <w:rsid w:val="0080441D"/>
    <w:rsid w:val="008053CC"/>
    <w:rsid w:val="00807B27"/>
    <w:rsid w:val="008123DA"/>
    <w:rsid w:val="00814429"/>
    <w:rsid w:val="00816A3A"/>
    <w:rsid w:val="00826376"/>
    <w:rsid w:val="00830397"/>
    <w:rsid w:val="00833464"/>
    <w:rsid w:val="008342A1"/>
    <w:rsid w:val="008345C6"/>
    <w:rsid w:val="00841414"/>
    <w:rsid w:val="0085122E"/>
    <w:rsid w:val="0085222F"/>
    <w:rsid w:val="00853712"/>
    <w:rsid w:val="00854349"/>
    <w:rsid w:val="008544BD"/>
    <w:rsid w:val="00856150"/>
    <w:rsid w:val="00857A03"/>
    <w:rsid w:val="008601B6"/>
    <w:rsid w:val="00864D96"/>
    <w:rsid w:val="00867B54"/>
    <w:rsid w:val="008702C8"/>
    <w:rsid w:val="00870A5F"/>
    <w:rsid w:val="00873E61"/>
    <w:rsid w:val="00876D7E"/>
    <w:rsid w:val="008775D6"/>
    <w:rsid w:val="00880D51"/>
    <w:rsid w:val="00882069"/>
    <w:rsid w:val="00882AFF"/>
    <w:rsid w:val="00884787"/>
    <w:rsid w:val="00886001"/>
    <w:rsid w:val="008860C5"/>
    <w:rsid w:val="008870C1"/>
    <w:rsid w:val="00894A7E"/>
    <w:rsid w:val="008A0FD7"/>
    <w:rsid w:val="008A1B50"/>
    <w:rsid w:val="008A1BEF"/>
    <w:rsid w:val="008A30B8"/>
    <w:rsid w:val="008A75BA"/>
    <w:rsid w:val="008B01DB"/>
    <w:rsid w:val="008B344C"/>
    <w:rsid w:val="008B353A"/>
    <w:rsid w:val="008B399E"/>
    <w:rsid w:val="008B4E7A"/>
    <w:rsid w:val="008B7C96"/>
    <w:rsid w:val="008C6E59"/>
    <w:rsid w:val="008E1834"/>
    <w:rsid w:val="008E4D9B"/>
    <w:rsid w:val="008E50B3"/>
    <w:rsid w:val="008E6560"/>
    <w:rsid w:val="008E75A0"/>
    <w:rsid w:val="008E7C5A"/>
    <w:rsid w:val="00901608"/>
    <w:rsid w:val="0090288D"/>
    <w:rsid w:val="009059BC"/>
    <w:rsid w:val="00911B56"/>
    <w:rsid w:val="009128A3"/>
    <w:rsid w:val="009134EF"/>
    <w:rsid w:val="009249A4"/>
    <w:rsid w:val="00924EC3"/>
    <w:rsid w:val="009253D0"/>
    <w:rsid w:val="009260A2"/>
    <w:rsid w:val="009271EC"/>
    <w:rsid w:val="00927536"/>
    <w:rsid w:val="0093429A"/>
    <w:rsid w:val="00934B56"/>
    <w:rsid w:val="00943EA4"/>
    <w:rsid w:val="0094461D"/>
    <w:rsid w:val="00944771"/>
    <w:rsid w:val="00944FB8"/>
    <w:rsid w:val="00946BD4"/>
    <w:rsid w:val="00955349"/>
    <w:rsid w:val="00957894"/>
    <w:rsid w:val="009654CA"/>
    <w:rsid w:val="0097040F"/>
    <w:rsid w:val="0097376A"/>
    <w:rsid w:val="00975E51"/>
    <w:rsid w:val="009767B7"/>
    <w:rsid w:val="00981710"/>
    <w:rsid w:val="00981D27"/>
    <w:rsid w:val="00981DAB"/>
    <w:rsid w:val="00982608"/>
    <w:rsid w:val="0099224A"/>
    <w:rsid w:val="009964C8"/>
    <w:rsid w:val="009A1431"/>
    <w:rsid w:val="009A19B6"/>
    <w:rsid w:val="009A6CCA"/>
    <w:rsid w:val="009B095A"/>
    <w:rsid w:val="009B2609"/>
    <w:rsid w:val="009B5A6F"/>
    <w:rsid w:val="009C648C"/>
    <w:rsid w:val="009D032E"/>
    <w:rsid w:val="009D3F35"/>
    <w:rsid w:val="009D539E"/>
    <w:rsid w:val="009D7DD4"/>
    <w:rsid w:val="009E0B08"/>
    <w:rsid w:val="009E0BDD"/>
    <w:rsid w:val="009E4659"/>
    <w:rsid w:val="009E58D1"/>
    <w:rsid w:val="009F08EC"/>
    <w:rsid w:val="009F3491"/>
    <w:rsid w:val="009F43D0"/>
    <w:rsid w:val="009F70C4"/>
    <w:rsid w:val="00A0380C"/>
    <w:rsid w:val="00A063FB"/>
    <w:rsid w:val="00A070CA"/>
    <w:rsid w:val="00A13D03"/>
    <w:rsid w:val="00A1429E"/>
    <w:rsid w:val="00A21057"/>
    <w:rsid w:val="00A24719"/>
    <w:rsid w:val="00A31EAC"/>
    <w:rsid w:val="00A34EBA"/>
    <w:rsid w:val="00A350CC"/>
    <w:rsid w:val="00A35FE8"/>
    <w:rsid w:val="00A361CB"/>
    <w:rsid w:val="00A36795"/>
    <w:rsid w:val="00A371FE"/>
    <w:rsid w:val="00A37B64"/>
    <w:rsid w:val="00A40944"/>
    <w:rsid w:val="00A40DF6"/>
    <w:rsid w:val="00A42B03"/>
    <w:rsid w:val="00A46C43"/>
    <w:rsid w:val="00A518CD"/>
    <w:rsid w:val="00A53E68"/>
    <w:rsid w:val="00A54C18"/>
    <w:rsid w:val="00A5610E"/>
    <w:rsid w:val="00A7115F"/>
    <w:rsid w:val="00A71305"/>
    <w:rsid w:val="00A74751"/>
    <w:rsid w:val="00A769F1"/>
    <w:rsid w:val="00A8141B"/>
    <w:rsid w:val="00A82D6C"/>
    <w:rsid w:val="00A83311"/>
    <w:rsid w:val="00A8568E"/>
    <w:rsid w:val="00A93548"/>
    <w:rsid w:val="00A93FDB"/>
    <w:rsid w:val="00A9416C"/>
    <w:rsid w:val="00AA3321"/>
    <w:rsid w:val="00AA3AEA"/>
    <w:rsid w:val="00AA4F5C"/>
    <w:rsid w:val="00AB5F1B"/>
    <w:rsid w:val="00AC5E40"/>
    <w:rsid w:val="00AC7647"/>
    <w:rsid w:val="00AD0F6F"/>
    <w:rsid w:val="00AD3197"/>
    <w:rsid w:val="00AD4688"/>
    <w:rsid w:val="00AD4FBC"/>
    <w:rsid w:val="00AE1AA3"/>
    <w:rsid w:val="00AE639B"/>
    <w:rsid w:val="00AE6B18"/>
    <w:rsid w:val="00AE78FD"/>
    <w:rsid w:val="00AE7AB5"/>
    <w:rsid w:val="00AE7D17"/>
    <w:rsid w:val="00AF68EB"/>
    <w:rsid w:val="00B00EDD"/>
    <w:rsid w:val="00B02405"/>
    <w:rsid w:val="00B07AA7"/>
    <w:rsid w:val="00B10DD9"/>
    <w:rsid w:val="00B13780"/>
    <w:rsid w:val="00B13E7C"/>
    <w:rsid w:val="00B17B32"/>
    <w:rsid w:val="00B22554"/>
    <w:rsid w:val="00B30CF6"/>
    <w:rsid w:val="00B30E54"/>
    <w:rsid w:val="00B33EC6"/>
    <w:rsid w:val="00B34450"/>
    <w:rsid w:val="00B360F4"/>
    <w:rsid w:val="00B40BA1"/>
    <w:rsid w:val="00B420DF"/>
    <w:rsid w:val="00B437CD"/>
    <w:rsid w:val="00B47D80"/>
    <w:rsid w:val="00B47F8D"/>
    <w:rsid w:val="00B51210"/>
    <w:rsid w:val="00B521BB"/>
    <w:rsid w:val="00B573D6"/>
    <w:rsid w:val="00B647C2"/>
    <w:rsid w:val="00B66AEC"/>
    <w:rsid w:val="00B67F6F"/>
    <w:rsid w:val="00B7028E"/>
    <w:rsid w:val="00B72D48"/>
    <w:rsid w:val="00B74550"/>
    <w:rsid w:val="00B75106"/>
    <w:rsid w:val="00B75C8E"/>
    <w:rsid w:val="00B7769B"/>
    <w:rsid w:val="00B80053"/>
    <w:rsid w:val="00B82F32"/>
    <w:rsid w:val="00B873B4"/>
    <w:rsid w:val="00B91FD7"/>
    <w:rsid w:val="00B92D99"/>
    <w:rsid w:val="00B95878"/>
    <w:rsid w:val="00B967C0"/>
    <w:rsid w:val="00B96AD8"/>
    <w:rsid w:val="00BA03A1"/>
    <w:rsid w:val="00BA0CCC"/>
    <w:rsid w:val="00BA0F79"/>
    <w:rsid w:val="00BA2012"/>
    <w:rsid w:val="00BA671F"/>
    <w:rsid w:val="00BB5EF3"/>
    <w:rsid w:val="00BC224E"/>
    <w:rsid w:val="00BD0BFC"/>
    <w:rsid w:val="00BD0D14"/>
    <w:rsid w:val="00BD0FA8"/>
    <w:rsid w:val="00BD2053"/>
    <w:rsid w:val="00BD3680"/>
    <w:rsid w:val="00BD5B4A"/>
    <w:rsid w:val="00BD7D57"/>
    <w:rsid w:val="00BE19E6"/>
    <w:rsid w:val="00BE3216"/>
    <w:rsid w:val="00BF054E"/>
    <w:rsid w:val="00BF15CE"/>
    <w:rsid w:val="00BF162F"/>
    <w:rsid w:val="00BF7B98"/>
    <w:rsid w:val="00C012A1"/>
    <w:rsid w:val="00C034C5"/>
    <w:rsid w:val="00C134DA"/>
    <w:rsid w:val="00C17542"/>
    <w:rsid w:val="00C20011"/>
    <w:rsid w:val="00C24B1C"/>
    <w:rsid w:val="00C30DB4"/>
    <w:rsid w:val="00C312A7"/>
    <w:rsid w:val="00C31666"/>
    <w:rsid w:val="00C31C99"/>
    <w:rsid w:val="00C32178"/>
    <w:rsid w:val="00C35BD9"/>
    <w:rsid w:val="00C45A41"/>
    <w:rsid w:val="00C45DEB"/>
    <w:rsid w:val="00C47A0D"/>
    <w:rsid w:val="00C539B9"/>
    <w:rsid w:val="00C56287"/>
    <w:rsid w:val="00C5686A"/>
    <w:rsid w:val="00C56AF1"/>
    <w:rsid w:val="00C61DCF"/>
    <w:rsid w:val="00C61E7C"/>
    <w:rsid w:val="00C66C01"/>
    <w:rsid w:val="00C6727D"/>
    <w:rsid w:val="00C67CD9"/>
    <w:rsid w:val="00C720FB"/>
    <w:rsid w:val="00C724B2"/>
    <w:rsid w:val="00C73A92"/>
    <w:rsid w:val="00C76669"/>
    <w:rsid w:val="00C778AD"/>
    <w:rsid w:val="00C821F0"/>
    <w:rsid w:val="00C83765"/>
    <w:rsid w:val="00C84666"/>
    <w:rsid w:val="00C84F41"/>
    <w:rsid w:val="00C87F2C"/>
    <w:rsid w:val="00C92106"/>
    <w:rsid w:val="00C929D6"/>
    <w:rsid w:val="00C94D10"/>
    <w:rsid w:val="00C97DE7"/>
    <w:rsid w:val="00CA042B"/>
    <w:rsid w:val="00CA357F"/>
    <w:rsid w:val="00CA3F68"/>
    <w:rsid w:val="00CA5471"/>
    <w:rsid w:val="00CA7DE1"/>
    <w:rsid w:val="00CB04E9"/>
    <w:rsid w:val="00CB1480"/>
    <w:rsid w:val="00CB25BA"/>
    <w:rsid w:val="00CB4309"/>
    <w:rsid w:val="00CB7197"/>
    <w:rsid w:val="00CC7524"/>
    <w:rsid w:val="00CC7D14"/>
    <w:rsid w:val="00CD2B4B"/>
    <w:rsid w:val="00CD3517"/>
    <w:rsid w:val="00CD654C"/>
    <w:rsid w:val="00CE30DC"/>
    <w:rsid w:val="00CE484A"/>
    <w:rsid w:val="00CF295C"/>
    <w:rsid w:val="00CF7174"/>
    <w:rsid w:val="00D05D8D"/>
    <w:rsid w:val="00D14719"/>
    <w:rsid w:val="00D14C13"/>
    <w:rsid w:val="00D17C25"/>
    <w:rsid w:val="00D20300"/>
    <w:rsid w:val="00D2064B"/>
    <w:rsid w:val="00D2086F"/>
    <w:rsid w:val="00D20D6D"/>
    <w:rsid w:val="00D215AC"/>
    <w:rsid w:val="00D21C92"/>
    <w:rsid w:val="00D21F6D"/>
    <w:rsid w:val="00D30C84"/>
    <w:rsid w:val="00D3282C"/>
    <w:rsid w:val="00D407E0"/>
    <w:rsid w:val="00D42212"/>
    <w:rsid w:val="00D422A6"/>
    <w:rsid w:val="00D437B5"/>
    <w:rsid w:val="00D465E9"/>
    <w:rsid w:val="00D5258D"/>
    <w:rsid w:val="00D55683"/>
    <w:rsid w:val="00D618D2"/>
    <w:rsid w:val="00D655D7"/>
    <w:rsid w:val="00D672F3"/>
    <w:rsid w:val="00D70409"/>
    <w:rsid w:val="00D7304D"/>
    <w:rsid w:val="00D76E63"/>
    <w:rsid w:val="00D80E93"/>
    <w:rsid w:val="00D81E17"/>
    <w:rsid w:val="00D84036"/>
    <w:rsid w:val="00D9182C"/>
    <w:rsid w:val="00D951B0"/>
    <w:rsid w:val="00D95C92"/>
    <w:rsid w:val="00D96469"/>
    <w:rsid w:val="00DA097A"/>
    <w:rsid w:val="00DA7519"/>
    <w:rsid w:val="00DB191A"/>
    <w:rsid w:val="00DB252F"/>
    <w:rsid w:val="00DB3AC4"/>
    <w:rsid w:val="00DB530B"/>
    <w:rsid w:val="00DC096B"/>
    <w:rsid w:val="00DC39BE"/>
    <w:rsid w:val="00DC4015"/>
    <w:rsid w:val="00DD2C13"/>
    <w:rsid w:val="00DD3085"/>
    <w:rsid w:val="00DD7F87"/>
    <w:rsid w:val="00DE2BA3"/>
    <w:rsid w:val="00DE4B25"/>
    <w:rsid w:val="00DF00BE"/>
    <w:rsid w:val="00DF2942"/>
    <w:rsid w:val="00DF71A2"/>
    <w:rsid w:val="00DF75FF"/>
    <w:rsid w:val="00E03048"/>
    <w:rsid w:val="00E039E9"/>
    <w:rsid w:val="00E04DE8"/>
    <w:rsid w:val="00E13D51"/>
    <w:rsid w:val="00E13FD6"/>
    <w:rsid w:val="00E14553"/>
    <w:rsid w:val="00E14D85"/>
    <w:rsid w:val="00E17364"/>
    <w:rsid w:val="00E221AE"/>
    <w:rsid w:val="00E237B4"/>
    <w:rsid w:val="00E25972"/>
    <w:rsid w:val="00E25A34"/>
    <w:rsid w:val="00E30BB9"/>
    <w:rsid w:val="00E329BA"/>
    <w:rsid w:val="00E32BCF"/>
    <w:rsid w:val="00E33CA7"/>
    <w:rsid w:val="00E378BE"/>
    <w:rsid w:val="00E40B9B"/>
    <w:rsid w:val="00E41CE3"/>
    <w:rsid w:val="00E564E0"/>
    <w:rsid w:val="00E61B0C"/>
    <w:rsid w:val="00E73B14"/>
    <w:rsid w:val="00E761A0"/>
    <w:rsid w:val="00E803C5"/>
    <w:rsid w:val="00E81784"/>
    <w:rsid w:val="00E83D71"/>
    <w:rsid w:val="00E9086E"/>
    <w:rsid w:val="00E92D23"/>
    <w:rsid w:val="00E9789E"/>
    <w:rsid w:val="00E97B01"/>
    <w:rsid w:val="00E97C8B"/>
    <w:rsid w:val="00EA32FF"/>
    <w:rsid w:val="00EA36D4"/>
    <w:rsid w:val="00EA377B"/>
    <w:rsid w:val="00EB23E1"/>
    <w:rsid w:val="00EB6B89"/>
    <w:rsid w:val="00EB7E84"/>
    <w:rsid w:val="00ED4E97"/>
    <w:rsid w:val="00EE3753"/>
    <w:rsid w:val="00EE60EE"/>
    <w:rsid w:val="00EF227D"/>
    <w:rsid w:val="00EF29D8"/>
    <w:rsid w:val="00EF4938"/>
    <w:rsid w:val="00EF4FC6"/>
    <w:rsid w:val="00EF7A20"/>
    <w:rsid w:val="00F077FC"/>
    <w:rsid w:val="00F11882"/>
    <w:rsid w:val="00F1269D"/>
    <w:rsid w:val="00F161B8"/>
    <w:rsid w:val="00F25575"/>
    <w:rsid w:val="00F278D9"/>
    <w:rsid w:val="00F27D5B"/>
    <w:rsid w:val="00F405E7"/>
    <w:rsid w:val="00F4080B"/>
    <w:rsid w:val="00F4400D"/>
    <w:rsid w:val="00F45189"/>
    <w:rsid w:val="00F64937"/>
    <w:rsid w:val="00F6560D"/>
    <w:rsid w:val="00F65C91"/>
    <w:rsid w:val="00F66DBA"/>
    <w:rsid w:val="00F7213C"/>
    <w:rsid w:val="00F73938"/>
    <w:rsid w:val="00F83283"/>
    <w:rsid w:val="00F85A21"/>
    <w:rsid w:val="00F86BC3"/>
    <w:rsid w:val="00F909DE"/>
    <w:rsid w:val="00F90D7F"/>
    <w:rsid w:val="00F92BFF"/>
    <w:rsid w:val="00F95FE5"/>
    <w:rsid w:val="00F96055"/>
    <w:rsid w:val="00F960A8"/>
    <w:rsid w:val="00FA0CBA"/>
    <w:rsid w:val="00FA1926"/>
    <w:rsid w:val="00FA20BD"/>
    <w:rsid w:val="00FA38E4"/>
    <w:rsid w:val="00FA56B7"/>
    <w:rsid w:val="00FC19C7"/>
    <w:rsid w:val="00FC3CC1"/>
    <w:rsid w:val="00FC4C40"/>
    <w:rsid w:val="00FC5FDA"/>
    <w:rsid w:val="00FD0780"/>
    <w:rsid w:val="00FD4C86"/>
    <w:rsid w:val="00FD7094"/>
    <w:rsid w:val="02D45932"/>
    <w:rsid w:val="03174E7E"/>
    <w:rsid w:val="08654D4A"/>
    <w:rsid w:val="0DB228A0"/>
    <w:rsid w:val="1EB62E5C"/>
    <w:rsid w:val="279B0CEC"/>
    <w:rsid w:val="32ED04C9"/>
    <w:rsid w:val="351F2AA5"/>
    <w:rsid w:val="36FF898C"/>
    <w:rsid w:val="37E749E1"/>
    <w:rsid w:val="38052DC2"/>
    <w:rsid w:val="3BEDCC4C"/>
    <w:rsid w:val="3BFFF989"/>
    <w:rsid w:val="3DC53153"/>
    <w:rsid w:val="3FFE767F"/>
    <w:rsid w:val="407A10F7"/>
    <w:rsid w:val="49FBF067"/>
    <w:rsid w:val="4CEF6FC4"/>
    <w:rsid w:val="4DDFA4F5"/>
    <w:rsid w:val="4E3F7F1A"/>
    <w:rsid w:val="4EF52733"/>
    <w:rsid w:val="4FBFF9FD"/>
    <w:rsid w:val="50491219"/>
    <w:rsid w:val="55F77953"/>
    <w:rsid w:val="55FF7C5A"/>
    <w:rsid w:val="57FD64BC"/>
    <w:rsid w:val="57FFF33C"/>
    <w:rsid w:val="5AF1F3FE"/>
    <w:rsid w:val="5AFFB533"/>
    <w:rsid w:val="5BFE75DA"/>
    <w:rsid w:val="5C932FF9"/>
    <w:rsid w:val="5E968DF6"/>
    <w:rsid w:val="5FEEAEC1"/>
    <w:rsid w:val="5FFF4BFC"/>
    <w:rsid w:val="6451092D"/>
    <w:rsid w:val="64DD211D"/>
    <w:rsid w:val="6B7F5A27"/>
    <w:rsid w:val="6E3D886A"/>
    <w:rsid w:val="6F2B0C18"/>
    <w:rsid w:val="6FEFF174"/>
    <w:rsid w:val="6FF287C1"/>
    <w:rsid w:val="71F63FA1"/>
    <w:rsid w:val="73E70921"/>
    <w:rsid w:val="75EBFBFF"/>
    <w:rsid w:val="76F71F3D"/>
    <w:rsid w:val="76FA06B6"/>
    <w:rsid w:val="77BD5FA4"/>
    <w:rsid w:val="7BF95056"/>
    <w:rsid w:val="7D764D9D"/>
    <w:rsid w:val="7DF3E427"/>
    <w:rsid w:val="7DFFF4F7"/>
    <w:rsid w:val="7EBF524E"/>
    <w:rsid w:val="7EFCBF7C"/>
    <w:rsid w:val="7EFF41F3"/>
    <w:rsid w:val="7FAA26F5"/>
    <w:rsid w:val="7FB7B277"/>
    <w:rsid w:val="7FF37FEA"/>
    <w:rsid w:val="7FFF599E"/>
    <w:rsid w:val="7FFF6761"/>
    <w:rsid w:val="7FFFADBA"/>
    <w:rsid w:val="873FA37B"/>
    <w:rsid w:val="A9EBA5A8"/>
    <w:rsid w:val="ADF24279"/>
    <w:rsid w:val="B1FEB0E0"/>
    <w:rsid w:val="B7A577C8"/>
    <w:rsid w:val="BB978D4E"/>
    <w:rsid w:val="BDFF8BFD"/>
    <w:rsid w:val="BEDFCB78"/>
    <w:rsid w:val="BF5FC1B0"/>
    <w:rsid w:val="BF7F817B"/>
    <w:rsid w:val="BFB3D690"/>
    <w:rsid w:val="BFE65FEE"/>
    <w:rsid w:val="C5FDB6CC"/>
    <w:rsid w:val="CBFB8F16"/>
    <w:rsid w:val="CEFC074F"/>
    <w:rsid w:val="CF9E8A6A"/>
    <w:rsid w:val="CFFD9F19"/>
    <w:rsid w:val="CFFF3C0C"/>
    <w:rsid w:val="D9FF6064"/>
    <w:rsid w:val="DBF5248B"/>
    <w:rsid w:val="DFBFE739"/>
    <w:rsid w:val="DFED13F5"/>
    <w:rsid w:val="E5FE481A"/>
    <w:rsid w:val="E7F9985E"/>
    <w:rsid w:val="E9FF8563"/>
    <w:rsid w:val="EDD89EE5"/>
    <w:rsid w:val="EE5794EF"/>
    <w:rsid w:val="EEBF6B32"/>
    <w:rsid w:val="EEFD621D"/>
    <w:rsid w:val="EF1E5FE8"/>
    <w:rsid w:val="EF7B8AA4"/>
    <w:rsid w:val="EFFF67B4"/>
    <w:rsid w:val="F477807F"/>
    <w:rsid w:val="F7C5EABA"/>
    <w:rsid w:val="F7D599BB"/>
    <w:rsid w:val="F7F7C9E8"/>
    <w:rsid w:val="F7FF3108"/>
    <w:rsid w:val="F89B69C4"/>
    <w:rsid w:val="F9DDF560"/>
    <w:rsid w:val="FBD62D12"/>
    <w:rsid w:val="FBF7EF91"/>
    <w:rsid w:val="FC5D2535"/>
    <w:rsid w:val="FCF3FE0D"/>
    <w:rsid w:val="FDCFD98D"/>
    <w:rsid w:val="FE9CB3B2"/>
    <w:rsid w:val="FEFFCCF4"/>
    <w:rsid w:val="FF3523DC"/>
    <w:rsid w:val="FF7EACC0"/>
    <w:rsid w:val="FF7F4A3B"/>
    <w:rsid w:val="FF8F781E"/>
    <w:rsid w:val="FFA6BBF2"/>
    <w:rsid w:val="FFEF7006"/>
    <w:rsid w:val="FFFF1471"/>
    <w:rsid w:val="FFFF3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caption"/>
    <w:basedOn w:val="1"/>
    <w:next w:val="1"/>
    <w:semiHidden/>
    <w:unhideWhenUsed/>
    <w:qFormat/>
    <w:uiPriority w:val="0"/>
    <w:rPr>
      <w:rFonts w:eastAsia="黑体" w:asciiTheme="majorHAnsi" w:hAnsiTheme="majorHAnsi" w:cstheme="majorBidi"/>
      <w:sz w:val="20"/>
      <w:szCs w:val="20"/>
    </w:rPr>
  </w:style>
  <w:style w:type="paragraph" w:styleId="4">
    <w:name w:val="endnote text"/>
    <w:basedOn w:val="1"/>
    <w:link w:val="14"/>
    <w:qFormat/>
    <w:uiPriority w:val="0"/>
    <w:pPr>
      <w:snapToGrid w:val="0"/>
      <w:jc w:val="left"/>
    </w:pPr>
  </w:style>
  <w:style w:type="paragraph" w:styleId="5">
    <w:name w:val="Balloon Text"/>
    <w:basedOn w:val="1"/>
    <w:link w:val="13"/>
    <w:qFormat/>
    <w:uiPriority w:val="0"/>
    <w:rPr>
      <w:sz w:val="18"/>
      <w:szCs w:val="18"/>
    </w:rPr>
  </w:style>
  <w:style w:type="paragraph" w:styleId="6">
    <w:name w:val="footer"/>
    <w:basedOn w:val="1"/>
    <w:link w:val="12"/>
    <w:qFormat/>
    <w:uiPriority w:val="99"/>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10">
    <w:name w:val="endnote reference"/>
    <w:basedOn w:val="9"/>
    <w:qFormat/>
    <w:uiPriority w:val="0"/>
    <w:rPr>
      <w:vertAlign w:val="superscript"/>
    </w:rPr>
  </w:style>
  <w:style w:type="character" w:customStyle="1" w:styleId="11">
    <w:name w:val="页眉 Char"/>
    <w:basedOn w:val="9"/>
    <w:link w:val="7"/>
    <w:qFormat/>
    <w:uiPriority w:val="0"/>
    <w:rPr>
      <w:sz w:val="18"/>
      <w:szCs w:val="18"/>
    </w:rPr>
  </w:style>
  <w:style w:type="character" w:customStyle="1" w:styleId="12">
    <w:name w:val="页脚 Char"/>
    <w:basedOn w:val="9"/>
    <w:link w:val="6"/>
    <w:qFormat/>
    <w:uiPriority w:val="99"/>
    <w:rPr>
      <w:sz w:val="18"/>
      <w:szCs w:val="18"/>
    </w:rPr>
  </w:style>
  <w:style w:type="character" w:customStyle="1" w:styleId="13">
    <w:name w:val="批注框文本 Char"/>
    <w:basedOn w:val="9"/>
    <w:link w:val="5"/>
    <w:qFormat/>
    <w:uiPriority w:val="0"/>
    <w:rPr>
      <w:sz w:val="18"/>
      <w:szCs w:val="18"/>
    </w:rPr>
  </w:style>
  <w:style w:type="character" w:customStyle="1" w:styleId="14">
    <w:name w:val="尾注文本 Char"/>
    <w:basedOn w:val="9"/>
    <w:link w:val="4"/>
    <w:qFormat/>
    <w:uiPriority w:val="0"/>
    <w:rPr>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CBCD3B7B-D5BD-440A-94B4-23CEA817862F}">
  <ds:schemaRefs/>
</ds:datastoreItem>
</file>

<file path=docProps/app.xml><?xml version="1.0" encoding="utf-8"?>
<Properties xmlns="http://schemas.openxmlformats.org/officeDocument/2006/extended-properties" xmlns:vt="http://schemas.openxmlformats.org/officeDocument/2006/docPropsVTypes">
  <Template>AB1DC23E</Template>
  <Pages>18</Pages>
  <Words>1302</Words>
  <Characters>7426</Characters>
  <Lines>61</Lines>
  <Paragraphs>17</Paragraphs>
  <TotalTime>2127</TotalTime>
  <ScaleCrop>false</ScaleCrop>
  <LinksUpToDate>false</LinksUpToDate>
  <CharactersWithSpaces>8711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2026-06-25T10:12:00Z</dcterms:created>
  <dc:creator>Apache POI</dc:creator>
  <cp:lastModifiedBy>LW</cp:lastModifiedBy>
  <cp:lastPrinted>2026-07-31T10:47:00Z</cp:lastPrinted>
  <dcterms:modified xsi:type="dcterms:W3CDTF">2026-08-14T10:24:02Z</dcterms:modified>
  <cp:revision>879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{"Label":"1","ContentProducer":"001191110102MACQD9K64010000","ProduceID":"7654902740149669069","ReservedCode1":"","ContentPropagator":"","PropagateID":"","ReservedCode2":""}</vt:lpwstr>
  </property>
  <property fmtid="{D5CDD505-2E9C-101B-9397-08002B2CF9AE}" pid="3" name="KSOProductBuildVer">
    <vt:lpwstr>2052-12.8.2.21555</vt:lpwstr>
  </property>
  <property fmtid="{D5CDD505-2E9C-101B-9397-08002B2CF9AE}" pid="4" name="ICV">
    <vt:lpwstr>3F32E7FED8084E07B53892DDDE09F900_13</vt:lpwstr>
  </property>
</Properties>
</file>