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40"/>
          <w:szCs w:val="40"/>
        </w:rPr>
      </w:pPr>
      <w:r>
        <w:rPr>
          <w:rFonts w:hint="eastAsia" w:ascii="华文中宋" w:hAnsi="华文中宋" w:eastAsia="华文中宋" w:cs="华文中宋"/>
          <w:sz w:val="40"/>
          <w:szCs w:val="40"/>
        </w:rPr>
        <w:t>《红花病虫害绿色防控技术</w:t>
      </w:r>
      <w:r>
        <w:rPr>
          <w:rFonts w:hint="eastAsia" w:ascii="华文中宋" w:hAnsi="华文中宋" w:eastAsia="华文中宋" w:cs="华文中宋"/>
          <w:sz w:val="40"/>
          <w:szCs w:val="40"/>
          <w:lang w:val="en-US" w:eastAsia="zh-CN"/>
        </w:rPr>
        <w:t>规程</w:t>
      </w:r>
      <w:r>
        <w:rPr>
          <w:rFonts w:hint="eastAsia" w:ascii="华文中宋" w:hAnsi="华文中宋" w:eastAsia="华文中宋" w:cs="华文中宋"/>
          <w:sz w:val="40"/>
          <w:szCs w:val="40"/>
        </w:rPr>
        <w:t>（征求意见稿）》编制说明</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28"/>
          <w:szCs w:val="28"/>
        </w:rPr>
      </w:pPr>
      <w:r>
        <w:rPr>
          <w:rFonts w:hint="eastAsia" w:ascii="华文中宋" w:hAnsi="华文中宋" w:eastAsia="华文中宋" w:cs="华文中宋"/>
          <w:sz w:val="28"/>
          <w:szCs w:val="28"/>
        </w:rPr>
        <w:t>《红花病虫害绿色防控技术</w:t>
      </w:r>
      <w:r>
        <w:rPr>
          <w:rFonts w:hint="eastAsia" w:ascii="华文中宋" w:hAnsi="华文中宋" w:eastAsia="华文中宋" w:cs="华文中宋"/>
          <w:sz w:val="28"/>
          <w:szCs w:val="28"/>
          <w:lang w:val="en-US" w:eastAsia="zh-CN"/>
        </w:rPr>
        <w:t>规程</w:t>
      </w:r>
      <w:r>
        <w:rPr>
          <w:rFonts w:hint="eastAsia" w:ascii="华文中宋" w:hAnsi="华文中宋" w:eastAsia="华文中宋" w:cs="华文中宋"/>
          <w:sz w:val="28"/>
          <w:szCs w:val="28"/>
        </w:rPr>
        <w:t>（征求意见稿）》编制组</w:t>
      </w:r>
    </w:p>
    <w:p>
      <w:pPr>
        <w:ind w:firstLine="560"/>
        <w:jc w:val="center"/>
        <w:rPr>
          <w:sz w:val="28"/>
          <w:szCs w:val="32"/>
        </w:rPr>
      </w:pPr>
      <w:r>
        <w:rPr>
          <w:rFonts w:hint="eastAsia"/>
          <w:sz w:val="28"/>
          <w:szCs w:val="32"/>
        </w:rPr>
        <w:t>2023年</w:t>
      </w:r>
      <w:r>
        <w:rPr>
          <w:rFonts w:hint="eastAsia"/>
          <w:sz w:val="28"/>
          <w:szCs w:val="32"/>
          <w:lang w:val="en-US" w:eastAsia="zh-CN"/>
        </w:rPr>
        <w:t>5</w:t>
      </w:r>
      <w:r>
        <w:rPr>
          <w:rFonts w:hint="eastAsia"/>
          <w:sz w:val="28"/>
          <w:szCs w:val="32"/>
        </w:rPr>
        <w:t>月</w:t>
      </w:r>
    </w:p>
    <w:p>
      <w:pPr>
        <w:ind w:firstLine="0" w:firstLineChars="0"/>
        <w:rPr>
          <w:rFonts w:eastAsia="黑体"/>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sdt>
      <w:sdtPr>
        <w:rPr>
          <w:rFonts w:ascii="宋体" w:hAnsi="宋体" w:eastAsia="宋体"/>
          <w:sz w:val="28"/>
          <w:szCs w:val="32"/>
        </w:rPr>
        <w:id w:val="147474579"/>
        <w15:color w:val="DBDBDB"/>
        <w:docPartObj>
          <w:docPartGallery w:val="Table of Contents"/>
          <w:docPartUnique/>
        </w:docPartObj>
      </w:sdtPr>
      <w:sdtEndPr>
        <w:rPr>
          <w:rFonts w:hint="eastAsia" w:ascii="Times New Roman" w:hAnsi="Times New Roman" w:eastAsiaTheme="minorEastAsia"/>
          <w:b/>
          <w:sz w:val="21"/>
          <w:szCs w:val="22"/>
        </w:rPr>
      </w:sdtEndPr>
      <w:sdtContent>
        <w:p>
          <w:pPr>
            <w:spacing w:line="240" w:lineRule="auto"/>
            <w:ind w:firstLine="0" w:firstLineChars="0"/>
            <w:jc w:val="center"/>
            <w:rPr>
              <w:sz w:val="28"/>
              <w:szCs w:val="32"/>
            </w:rPr>
          </w:pPr>
          <w:r>
            <w:rPr>
              <w:rFonts w:ascii="宋体" w:hAnsi="宋体" w:eastAsia="宋体"/>
              <w:b/>
              <w:bCs/>
              <w:sz w:val="36"/>
              <w:szCs w:val="40"/>
            </w:rPr>
            <w:t>目录</w:t>
          </w:r>
        </w:p>
        <w:p>
          <w:pPr>
            <w:pStyle w:val="11"/>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_Toc15719 </w:instrText>
          </w:r>
          <w:r>
            <w:rPr>
              <w:rFonts w:hint="eastAsia"/>
            </w:rPr>
            <w:fldChar w:fldCharType="separate"/>
          </w:r>
          <w:r>
            <w:rPr>
              <w:rFonts w:hint="eastAsia"/>
              <w:bCs w:val="0"/>
              <w:szCs w:val="28"/>
            </w:rPr>
            <w:t>1</w:t>
          </w:r>
          <w:r>
            <w:rPr>
              <w:rFonts w:hint="eastAsia"/>
              <w:bCs w:val="0"/>
              <w:szCs w:val="28"/>
              <w:lang w:val="en-US" w:eastAsia="zh-CN"/>
            </w:rPr>
            <w:t xml:space="preserve"> </w:t>
          </w:r>
          <w:r>
            <w:rPr>
              <w:rFonts w:hint="eastAsia"/>
              <w:szCs w:val="28"/>
            </w:rPr>
            <w:t>制定标准的目的和意义</w:t>
          </w:r>
          <w:r>
            <w:tab/>
          </w:r>
          <w:r>
            <w:fldChar w:fldCharType="begin"/>
          </w:r>
          <w:r>
            <w:instrText xml:space="preserve"> PAGEREF _Toc15719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_Toc30470 </w:instrText>
          </w:r>
          <w:r>
            <w:rPr>
              <w:rFonts w:hint="eastAsia"/>
            </w:rPr>
            <w:fldChar w:fldCharType="separate"/>
          </w:r>
          <w:r>
            <w:rPr>
              <w:rFonts w:hint="eastAsia"/>
              <w:szCs w:val="28"/>
              <w:lang w:val="en-US" w:eastAsia="zh-CN"/>
            </w:rPr>
            <w:t xml:space="preserve">2 </w:t>
          </w:r>
          <w:r>
            <w:rPr>
              <w:rFonts w:hint="eastAsia"/>
              <w:szCs w:val="28"/>
            </w:rPr>
            <w:t>任务来源</w:t>
          </w:r>
          <w:r>
            <w:tab/>
          </w:r>
          <w:r>
            <w:fldChar w:fldCharType="begin"/>
          </w:r>
          <w:r>
            <w:instrText xml:space="preserve"> PAGEREF _Toc30470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_Toc27846 </w:instrText>
          </w:r>
          <w:r>
            <w:rPr>
              <w:rFonts w:hint="eastAsia"/>
            </w:rPr>
            <w:fldChar w:fldCharType="separate"/>
          </w:r>
          <w:r>
            <w:rPr>
              <w:rFonts w:hint="eastAsia" w:ascii="Times New Roman" w:hAnsi="Times New Roman"/>
              <w:szCs w:val="28"/>
              <w:lang w:val="en-US" w:eastAsia="zh-CN"/>
            </w:rPr>
            <w:t>3 编制过程</w:t>
          </w:r>
          <w:r>
            <w:tab/>
          </w:r>
          <w:r>
            <w:fldChar w:fldCharType="begin"/>
          </w:r>
          <w:r>
            <w:instrText xml:space="preserve"> PAGEREF _Toc27846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_Toc3039 </w:instrText>
          </w:r>
          <w:r>
            <w:rPr>
              <w:rFonts w:hint="eastAsia"/>
            </w:rPr>
            <w:fldChar w:fldCharType="separate"/>
          </w:r>
          <w:r>
            <w:rPr>
              <w:rFonts w:hint="eastAsia"/>
              <w:szCs w:val="24"/>
              <w:lang w:val="en-US" w:eastAsia="zh-CN"/>
            </w:rPr>
            <w:t>3.1标准起草人员</w:t>
          </w:r>
          <w:r>
            <w:tab/>
          </w:r>
          <w:r>
            <w:fldChar w:fldCharType="begin"/>
          </w:r>
          <w:r>
            <w:instrText xml:space="preserve"> PAGEREF _Toc3039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_Toc13555 </w:instrText>
          </w:r>
          <w:r>
            <w:rPr>
              <w:rFonts w:hint="eastAsia"/>
            </w:rPr>
            <w:fldChar w:fldCharType="separate"/>
          </w:r>
          <w:r>
            <w:rPr>
              <w:rFonts w:hint="eastAsia"/>
              <w:szCs w:val="24"/>
              <w:lang w:val="en-US" w:eastAsia="zh-CN"/>
            </w:rPr>
            <w:t>3.2编制过程</w:t>
          </w:r>
          <w:r>
            <w:tab/>
          </w:r>
          <w:r>
            <w:fldChar w:fldCharType="begin"/>
          </w:r>
          <w:r>
            <w:instrText xml:space="preserve"> PAGEREF _Toc13555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_Toc20555 </w:instrText>
          </w:r>
          <w:r>
            <w:rPr>
              <w:rFonts w:hint="eastAsia"/>
            </w:rPr>
            <w:fldChar w:fldCharType="separate"/>
          </w:r>
          <w:r>
            <w:rPr>
              <w:rFonts w:hint="eastAsia"/>
              <w:szCs w:val="24"/>
            </w:rPr>
            <w:t>3.3 技术指标制定</w:t>
          </w:r>
          <w:r>
            <w:tab/>
          </w:r>
          <w:r>
            <w:fldChar w:fldCharType="begin"/>
          </w:r>
          <w:r>
            <w:instrText xml:space="preserve"> PAGEREF _Toc20555 \h </w:instrText>
          </w:r>
          <w:r>
            <w:fldChar w:fldCharType="separate"/>
          </w:r>
          <w:r>
            <w:t>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_Toc32121 </w:instrText>
          </w:r>
          <w:r>
            <w:rPr>
              <w:rFonts w:hint="eastAsia"/>
            </w:rPr>
            <w:fldChar w:fldCharType="separate"/>
          </w:r>
          <w:r>
            <w:rPr>
              <w:rFonts w:hint="eastAsia" w:ascii="Times New Roman" w:hAnsi="Times New Roman"/>
              <w:szCs w:val="28"/>
              <w:lang w:val="en-US" w:eastAsia="zh-CN"/>
            </w:rPr>
            <w:t xml:space="preserve">4 </w:t>
          </w:r>
          <w:r>
            <w:rPr>
              <w:rFonts w:hint="eastAsia" w:ascii="Times New Roman" w:hAnsi="Times New Roman"/>
              <w:szCs w:val="28"/>
            </w:rPr>
            <w:t>采用国际标准或国外先进标准的，说明采标程度，以及国内外同类标准水平的对比情况</w:t>
          </w:r>
          <w:r>
            <w:tab/>
          </w:r>
          <w:r>
            <w:fldChar w:fldCharType="begin"/>
          </w:r>
          <w:r>
            <w:instrText xml:space="preserve"> PAGEREF _Toc32121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_Toc28546 </w:instrText>
          </w:r>
          <w:r>
            <w:rPr>
              <w:rFonts w:hint="eastAsia"/>
            </w:rPr>
            <w:fldChar w:fldCharType="separate"/>
          </w:r>
          <w:r>
            <w:rPr>
              <w:rFonts w:hint="eastAsia" w:ascii="Times New Roman" w:hAnsi="Times New Roman"/>
              <w:szCs w:val="28"/>
              <w:lang w:val="en-US" w:eastAsia="zh-CN"/>
            </w:rPr>
            <w:t xml:space="preserve">5 </w:t>
          </w:r>
          <w:r>
            <w:rPr>
              <w:rFonts w:hint="eastAsia" w:ascii="Times New Roman" w:hAnsi="Times New Roman"/>
              <w:szCs w:val="28"/>
            </w:rPr>
            <w:t>重大分歧意见的处理经过和依据</w:t>
          </w:r>
          <w:r>
            <w:tab/>
          </w:r>
          <w:r>
            <w:fldChar w:fldCharType="begin"/>
          </w:r>
          <w:r>
            <w:instrText xml:space="preserve"> PAGEREF _Toc28546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_Toc1819 </w:instrText>
          </w:r>
          <w:r>
            <w:rPr>
              <w:rFonts w:hint="eastAsia"/>
            </w:rPr>
            <w:fldChar w:fldCharType="separate"/>
          </w:r>
          <w:r>
            <w:rPr>
              <w:rFonts w:hint="eastAsia" w:ascii="Times New Roman" w:hAnsi="Times New Roman"/>
              <w:szCs w:val="28"/>
              <w:lang w:val="en-US" w:eastAsia="zh-CN"/>
            </w:rPr>
            <w:t>6作为强制性地方标准或推荐性地方标准的建议</w:t>
          </w:r>
          <w:r>
            <w:tab/>
          </w:r>
          <w:r>
            <w:fldChar w:fldCharType="begin"/>
          </w:r>
          <w:r>
            <w:instrText xml:space="preserve"> PAGEREF _Toc1819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_Toc10211 </w:instrText>
          </w:r>
          <w:r>
            <w:rPr>
              <w:rFonts w:hint="eastAsia"/>
            </w:rPr>
            <w:fldChar w:fldCharType="separate"/>
          </w:r>
          <w:r>
            <w:rPr>
              <w:rFonts w:hint="eastAsia" w:ascii="Times New Roman" w:hAnsi="Times New Roman"/>
              <w:szCs w:val="28"/>
              <w:lang w:val="en-US" w:eastAsia="zh-CN"/>
            </w:rPr>
            <w:t>7贯彻国家标准的要求和措施建议</w:t>
          </w:r>
          <w:r>
            <w:tab/>
          </w:r>
          <w:r>
            <w:fldChar w:fldCharType="begin"/>
          </w:r>
          <w:r>
            <w:instrText xml:space="preserve"> PAGEREF _Toc10211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_Toc15555 </w:instrText>
          </w:r>
          <w:r>
            <w:rPr>
              <w:rFonts w:hint="eastAsia"/>
            </w:rPr>
            <w:fldChar w:fldCharType="separate"/>
          </w:r>
          <w:r>
            <w:rPr>
              <w:rFonts w:hint="eastAsia" w:ascii="Times New Roman" w:hAnsi="Times New Roman"/>
              <w:szCs w:val="28"/>
              <w:lang w:val="en-US" w:eastAsia="zh-CN"/>
            </w:rPr>
            <w:t>8废止现行有关标准的建议</w:t>
          </w:r>
          <w:r>
            <w:tab/>
          </w:r>
          <w:r>
            <w:fldChar w:fldCharType="begin"/>
          </w:r>
          <w:r>
            <w:instrText xml:space="preserve"> PAGEREF _Toc15555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_Toc20140 </w:instrText>
          </w:r>
          <w:r>
            <w:rPr>
              <w:rFonts w:hint="eastAsia"/>
            </w:rPr>
            <w:fldChar w:fldCharType="separate"/>
          </w:r>
          <w:r>
            <w:rPr>
              <w:rFonts w:hint="eastAsia"/>
              <w:szCs w:val="28"/>
              <w:lang w:val="en-US" w:eastAsia="zh-CN"/>
            </w:rPr>
            <w:t>9</w:t>
          </w:r>
          <w:r>
            <w:rPr>
              <w:rFonts w:hint="eastAsia"/>
              <w:szCs w:val="28"/>
            </w:rPr>
            <w:t>其他需要说明的内容</w:t>
          </w:r>
          <w:r>
            <w:tab/>
          </w:r>
          <w:r>
            <w:fldChar w:fldCharType="begin"/>
          </w:r>
          <w:r>
            <w:instrText xml:space="preserve"> PAGEREF _Toc20140 \h </w:instrText>
          </w:r>
          <w:r>
            <w:fldChar w:fldCharType="separate"/>
          </w:r>
          <w:r>
            <w:t>6</w:t>
          </w:r>
          <w:r>
            <w:fldChar w:fldCharType="end"/>
          </w:r>
          <w:r>
            <w:rPr>
              <w:rFonts w:hint="eastAsia"/>
            </w:rPr>
            <w:fldChar w:fldCharType="end"/>
          </w:r>
        </w:p>
        <w:p>
          <w:pPr>
            <w:ind w:firstLine="0" w:firstLineChars="0"/>
          </w:pPr>
          <w:r>
            <w:rPr>
              <w:rFonts w:hint="eastAsia"/>
            </w:rPr>
            <w:fldChar w:fldCharType="end"/>
          </w:r>
        </w:p>
      </w:sdtContent>
    </w:sdt>
    <w:p>
      <w:pPr>
        <w:ind w:firstLine="420"/>
      </w:pPr>
    </w:p>
    <w:p>
      <w:pPr>
        <w:ind w:firstLine="420"/>
        <w:sectPr>
          <w:pgSz w:w="11906" w:h="16838"/>
          <w:pgMar w:top="1440" w:right="1800" w:bottom="1440" w:left="1800" w:header="851" w:footer="992" w:gutter="0"/>
          <w:cols w:space="425" w:num="1"/>
          <w:docGrid w:type="lines" w:linePitch="312" w:charSpace="0"/>
        </w:sectPr>
      </w:pPr>
    </w:p>
    <w:p>
      <w:pPr>
        <w:pStyle w:val="3"/>
        <w:rPr>
          <w:sz w:val="28"/>
          <w:szCs w:val="28"/>
        </w:rPr>
      </w:pPr>
      <w:bookmarkStart w:id="0" w:name="_Toc15719"/>
      <w:r>
        <w:rPr>
          <w:rFonts w:hint="eastAsia"/>
          <w:b w:val="0"/>
          <w:bCs w:val="0"/>
          <w:sz w:val="28"/>
          <w:szCs w:val="28"/>
        </w:rPr>
        <w:t>1</w:t>
      </w:r>
      <w:r>
        <w:rPr>
          <w:rFonts w:hint="eastAsia"/>
          <w:b w:val="0"/>
          <w:bCs w:val="0"/>
          <w:sz w:val="28"/>
          <w:szCs w:val="28"/>
          <w:lang w:val="en-US" w:eastAsia="zh-CN"/>
        </w:rPr>
        <w:t xml:space="preserve"> </w:t>
      </w:r>
      <w:r>
        <w:rPr>
          <w:rFonts w:hint="eastAsia"/>
          <w:sz w:val="28"/>
          <w:szCs w:val="28"/>
        </w:rPr>
        <w:t>制定标准的目的和意义</w:t>
      </w:r>
      <w:bookmarkEnd w:id="0"/>
    </w:p>
    <w:p>
      <w:pPr>
        <w:spacing w:line="360" w:lineRule="auto"/>
        <w:ind w:firstLine="420"/>
        <w:rPr>
          <w:rFonts w:hint="eastAsia"/>
          <w:szCs w:val="21"/>
          <w:lang w:eastAsia="zh-CN"/>
        </w:rPr>
      </w:pPr>
      <w:r>
        <w:rPr>
          <w:rFonts w:hint="eastAsia"/>
          <w:szCs w:val="21"/>
          <w:lang w:eastAsia="zh-CN"/>
        </w:rPr>
        <w:t>伊犁河谷位于新疆天山山脉西段，是新疆干旱区的一块" 湿岛" ，孕育了丰富而独特的植物种类。</w:t>
      </w:r>
      <w:r>
        <w:rPr>
          <w:rFonts w:hint="eastAsia"/>
          <w:szCs w:val="21"/>
          <w:lang w:val="en-US" w:eastAsia="zh-CN"/>
        </w:rPr>
        <w:t>伊犁河谷红花种植面积20万亩左右，由于独特的自然气候，红花的病虫害较多，主要有地下害虫、蚜虫、象甲、根腐病、褐斑病、锈病等，对红花产业的发展有一定影响。目前伊犁河谷还没有制定红花病虫害的绿色防控技术标准，因此州农技推广总站开展了红花病虫害农药减量及绿色防控技术的研究、集成与示范，以发挥红花的增产增收潜力。根据伊犁河谷红花产区不同病虫害发生情况，进行多点、多因素、多水平的绿色防控及农药减量试验，总结出最佳的病虫害绿色防控及农药减量技术规程，进行大面积推广，提高红花种植效益。伊犁河谷红花种植期间，由于病虫害的发生，造成产量损失。因此，开展红花病虫害绿色防控的研究，进行示范推广，增加经济效益</w:t>
      </w:r>
      <w:r>
        <w:rPr>
          <w:rFonts w:hint="eastAsia"/>
          <w:szCs w:val="21"/>
          <w:lang w:eastAsia="zh-CN"/>
        </w:rPr>
        <w:t>。</w:t>
      </w:r>
    </w:p>
    <w:p>
      <w:pPr>
        <w:pStyle w:val="3"/>
        <w:rPr>
          <w:sz w:val="28"/>
          <w:szCs w:val="28"/>
        </w:rPr>
      </w:pPr>
      <w:bookmarkStart w:id="1" w:name="_Toc30470"/>
      <w:r>
        <w:rPr>
          <w:rFonts w:hint="eastAsia"/>
          <w:sz w:val="28"/>
          <w:szCs w:val="28"/>
          <w:lang w:val="en-US" w:eastAsia="zh-CN"/>
        </w:rPr>
        <w:t xml:space="preserve">2 </w:t>
      </w:r>
      <w:r>
        <w:rPr>
          <w:rFonts w:hint="eastAsia"/>
          <w:sz w:val="28"/>
          <w:szCs w:val="28"/>
        </w:rPr>
        <w:t>任务来源</w:t>
      </w:r>
      <w:bookmarkEnd w:id="1"/>
    </w:p>
    <w:p>
      <w:pPr>
        <w:spacing w:line="360" w:lineRule="auto"/>
        <w:ind w:firstLine="420"/>
        <w:rPr>
          <w:rFonts w:hint="eastAsia" w:ascii="Times New Roman" w:hAnsi="Times New Roman"/>
          <w:szCs w:val="21"/>
          <w:lang w:eastAsia="zh-CN"/>
        </w:rPr>
      </w:pPr>
      <w:r>
        <w:rPr>
          <w:rFonts w:hint="eastAsia" w:ascii="Times New Roman" w:hAnsi="Times New Roman"/>
          <w:szCs w:val="21"/>
          <w:lang w:eastAsia="zh-CN"/>
        </w:rPr>
        <w:t>在此背景下，伊犁州农业技术推广总站、察布查尔县农业技术推广站和伊犁州农业科学研究所等单位依托所承担的劳模工匠人才工作室资金、自治区少数民族特殊培养项目“察县红花新品种引进及配套栽培技术研究推广”（20</w:t>
      </w:r>
      <w:r>
        <w:rPr>
          <w:rFonts w:hint="eastAsia" w:ascii="Times New Roman" w:hAnsi="Times New Roman"/>
          <w:szCs w:val="21"/>
          <w:lang w:val="en-US" w:eastAsia="zh-CN"/>
        </w:rPr>
        <w:t>1423103</w:t>
      </w:r>
      <w:r>
        <w:rPr>
          <w:rFonts w:hint="eastAsia" w:ascii="Times New Roman" w:hAnsi="Times New Roman"/>
          <w:szCs w:val="21"/>
          <w:lang w:eastAsia="zh-CN"/>
        </w:rPr>
        <w:t>）项目、重点研究与技术开发项目“伊犁河谷优质红花种质资源创制开发应用” （YZ2021A005）的开展实施，并基于一系列田间试验和示范应用，以点带面、不断在生产实践中对其进行优化和应用，最终制定了《红花病虫害绿色防控技术</w:t>
      </w:r>
      <w:r>
        <w:rPr>
          <w:rFonts w:hint="eastAsia" w:ascii="Times New Roman" w:hAnsi="Times New Roman"/>
          <w:szCs w:val="21"/>
          <w:lang w:val="en-US" w:eastAsia="zh-CN"/>
        </w:rPr>
        <w:t>规程</w:t>
      </w:r>
      <w:r>
        <w:rPr>
          <w:rFonts w:hint="eastAsia" w:ascii="Times New Roman" w:hAnsi="Times New Roman"/>
          <w:szCs w:val="21"/>
          <w:lang w:eastAsia="zh-CN"/>
        </w:rPr>
        <w:t>》，该文件经伊犁州市场监督管理局审查批准， 被列为2021年伊犁州地方标准编制计划，并由伊犁州农业农村局归口管理，具体由伊犁州农业技术推广总站负责起草。</w:t>
      </w:r>
    </w:p>
    <w:p>
      <w:pPr>
        <w:pStyle w:val="3"/>
        <w:rPr>
          <w:rFonts w:hint="eastAsia" w:ascii="Times New Roman" w:hAnsi="Times New Roman"/>
          <w:sz w:val="28"/>
          <w:szCs w:val="28"/>
          <w:lang w:val="en-US" w:eastAsia="zh-CN"/>
        </w:rPr>
      </w:pPr>
      <w:bookmarkStart w:id="2" w:name="_Toc59617115"/>
      <w:bookmarkStart w:id="3" w:name="_Toc27846"/>
      <w:r>
        <w:rPr>
          <w:rFonts w:hint="eastAsia" w:ascii="Times New Roman" w:hAnsi="Times New Roman"/>
          <w:sz w:val="28"/>
          <w:szCs w:val="28"/>
          <w:lang w:val="en-US" w:eastAsia="zh-CN"/>
        </w:rPr>
        <w:t>3 编制过程</w:t>
      </w:r>
      <w:bookmarkEnd w:id="2"/>
      <w:bookmarkEnd w:id="3"/>
    </w:p>
    <w:p>
      <w:pPr>
        <w:pStyle w:val="4"/>
        <w:ind w:firstLine="480"/>
        <w:rPr>
          <w:rFonts w:hint="eastAsia"/>
          <w:sz w:val="24"/>
          <w:szCs w:val="24"/>
          <w:lang w:val="en-US" w:eastAsia="zh-CN"/>
        </w:rPr>
      </w:pPr>
      <w:bookmarkStart w:id="4" w:name="_Toc3039"/>
      <w:r>
        <w:rPr>
          <w:rFonts w:hint="eastAsia"/>
          <w:sz w:val="24"/>
          <w:szCs w:val="24"/>
          <w:lang w:val="en-US" w:eastAsia="zh-CN"/>
        </w:rPr>
        <w:t>3.1标准起草人员</w:t>
      </w:r>
      <w:bookmarkEnd w:id="4"/>
      <w:bookmarkStart w:id="5" w:name="_Toc13555"/>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663"/>
        <w:gridCol w:w="2460"/>
        <w:gridCol w:w="206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序号</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姓  名</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单 位</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职称/职务</w:t>
            </w:r>
          </w:p>
        </w:tc>
        <w:tc>
          <w:tcPr>
            <w:tcW w:w="1671"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1</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付文君</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推广研究员/科长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13565482868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2</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陈蓉</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高级农艺师/副科长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18999579312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3</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关丽菊</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推广研究所</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4</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范荣霞</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18097875836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5</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张冬梅</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正高级农艺师/科长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13309998200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6</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刘菲</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农艺师/副科长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13040546972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7</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郭秀梅</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高级农艺师办公室主任</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13779138727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8</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彭云承</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伊犁州农业科学研究所</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推广研究员/主任</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13201105550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9</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安荣荣</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15999280562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10</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关志坚</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13779575656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11</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刘小龙</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18599386785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12</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侯恩珍</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特克斯县农业技术推广中心</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15292776909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迪丽孜拉</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18099839677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14</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曹小妮</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18699915745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15</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李荣跃</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18999579856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16</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沙吾列·努尔多来提、</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13325693225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17</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热哈提布·沙塔尔</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13399389545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阿斯艳木</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13629999554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19</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吉晓晨</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18309992356</w:t>
            </w:r>
          </w:p>
        </w:tc>
      </w:tr>
    </w:tbl>
    <w:p>
      <w:pPr>
        <w:rPr>
          <w:rFonts w:hint="eastAsia"/>
          <w:lang w:val="en-US" w:eastAsia="zh-CN"/>
        </w:rPr>
      </w:pPr>
    </w:p>
    <w:p>
      <w:pPr>
        <w:pStyle w:val="4"/>
        <w:ind w:firstLine="480"/>
        <w:rPr>
          <w:rFonts w:hint="eastAsia"/>
          <w:sz w:val="24"/>
          <w:szCs w:val="24"/>
          <w:lang w:val="en-US" w:eastAsia="zh-CN"/>
        </w:rPr>
      </w:pPr>
      <w:r>
        <w:rPr>
          <w:rFonts w:hint="eastAsia"/>
          <w:sz w:val="24"/>
          <w:szCs w:val="24"/>
          <w:lang w:val="en-US" w:eastAsia="zh-CN"/>
        </w:rPr>
        <w:t>3.2编制过程</w:t>
      </w:r>
      <w:bookmarkEnd w:id="5"/>
    </w:p>
    <w:p>
      <w:pPr>
        <w:spacing w:line="360" w:lineRule="auto"/>
        <w:ind w:firstLine="420"/>
        <w:rPr>
          <w:rFonts w:hint="eastAsia" w:ascii="Times New Roman" w:hAnsi="Times New Roman"/>
          <w:lang w:val="en-US" w:eastAsia="zh-CN"/>
        </w:rPr>
      </w:pPr>
      <w:r>
        <w:rPr>
          <w:rFonts w:hint="eastAsia" w:ascii="Times New Roman" w:hAnsi="Times New Roman"/>
        </w:rPr>
        <w:t>伊犁州农业技术推广总站</w:t>
      </w:r>
      <w:r>
        <w:rPr>
          <w:rFonts w:hint="eastAsia" w:ascii="Times New Roman" w:hAnsi="Times New Roman"/>
          <w:lang w:eastAsia="zh-CN"/>
        </w:rPr>
        <w:t>、察布查尔县农业技术推广站和伊犁州农业科学研究所</w:t>
      </w:r>
      <w:r>
        <w:rPr>
          <w:rFonts w:hint="eastAsia" w:ascii="Times New Roman" w:hAnsi="Times New Roman"/>
        </w:rPr>
        <w:t>等单位</w:t>
      </w:r>
      <w:r>
        <w:rPr>
          <w:rFonts w:hint="eastAsia" w:ascii="Times New Roman" w:hAnsi="Times New Roman"/>
          <w:lang w:val="en-US" w:eastAsia="zh-CN"/>
        </w:rPr>
        <w:t>在红花种植期间，根据病虫害的发生情况，通过拌种、药剂防治、助剂和无人机飞防等措施开展试验示范，筛选出最佳的绿色防控药剂及农药减量技术措施，绿色防控覆盖率达50%以上，病虫害防效达85%以上，增加农户经济效益。通过红花红花病虫害农药减量及绿色防控技术研究，技术人员在各乡（镇）场举办以红花病虫害农药减量及绿色防控技术为主要内容的培训班和知识讲座。积极开展病虫害绿色防控及农药减量技术等关键增产节本技术落实，努力实现绿色防控药剂、新技术进村、入户、到田。充分发挥示范基地的辐射带动作用，通过现场演示、对比试验、技术培训等多种形式，讲给农民听、做给农民看、带着农民干，使红花病虫害农药减量及绿色防控技术从试验示范阶段转入全面发展阶段，促进推广力度。</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伊犁州农业技术推广总站、察布查尔县农业技术推广站和伊犁州农业科学研究所作为主要起草人，在伊犁州市场监督管理局指导下，特编制出《红花病虫害绿色防控技术规程》，有效地把规范化、标准化工作贯穿于红花病虫害的防控过程中。本文件由伊犁州农业技术推广总站、察布查尔县农业技术推广站和伊犁州农业科学研究所共同提出并起草，按照技术规程制定发布要求，向省州内外植保专家、标准化管理部门征求意见，进行反复修改，形成征求意见稿。本文件适用于伊犁红花病虫害综合防控的实施。</w:t>
      </w:r>
    </w:p>
    <w:p>
      <w:pPr>
        <w:pStyle w:val="4"/>
        <w:ind w:firstLine="480"/>
        <w:rPr>
          <w:rFonts w:hint="eastAsia"/>
          <w:sz w:val="24"/>
          <w:szCs w:val="24"/>
        </w:rPr>
      </w:pPr>
      <w:bookmarkStart w:id="6" w:name="_Toc20555"/>
      <w:r>
        <w:rPr>
          <w:rFonts w:hint="eastAsia"/>
          <w:sz w:val="24"/>
          <w:szCs w:val="24"/>
        </w:rPr>
        <w:t>3.3 技术指标制定</w:t>
      </w:r>
      <w:bookmarkEnd w:id="6"/>
    </w:p>
    <w:p>
      <w:pPr>
        <w:pStyle w:val="2"/>
        <w:rPr>
          <w:rFonts w:hint="eastAsia"/>
          <w:lang w:val="en-US" w:eastAsia="zh-CN"/>
        </w:rPr>
      </w:pPr>
      <w:r>
        <w:rPr>
          <w:rFonts w:hint="eastAsia" w:ascii="Times New Roman" w:hAnsi="Times New Roman" w:eastAsiaTheme="minorEastAsia" w:cstheme="minorBidi"/>
          <w:kern w:val="2"/>
          <w:sz w:val="21"/>
          <w:szCs w:val="22"/>
          <w:lang w:val="en-US" w:eastAsia="zh-CN" w:bidi="ar-SA"/>
        </w:rPr>
        <w:t>本标准在红花病虫害绿色防控技术中定义了绿色防控、农药助剂、农药减施增效和防控原则，提出坚持“预防为主，综合防治”的植保方针，整体遵循“科学监测，精准防控”的原则，采取以环境友好型化学防治技术为核心，集物理防治、生态调控等诸多技术相协调的综合防控措施，在保证红花病虫害整体防</w:t>
      </w:r>
      <w:r>
        <w:rPr>
          <w:rFonts w:hint="eastAsia"/>
          <w:lang w:val="en-US" w:eastAsia="zh-CN"/>
        </w:rPr>
        <w:t>效的基础上，最大限度的减少用药量和施药次数，促进农业生态系统的良性循环，达到持续防控的目的。</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3.3.1 农业防治技术</w:t>
      </w:r>
    </w:p>
    <w:p>
      <w:pPr>
        <w:pStyle w:val="2"/>
        <w:rPr>
          <w:rFonts w:hint="eastAsia" w:ascii="Times New Roman" w:hAnsi="Times New Roman" w:eastAsiaTheme="minorEastAsia" w:cstheme="minorBidi"/>
          <w:kern w:val="2"/>
          <w:sz w:val="21"/>
          <w:szCs w:val="22"/>
          <w:lang w:val="en-US" w:eastAsia="zh-CN" w:bidi="ar-SA"/>
        </w:rPr>
      </w:pPr>
      <w:r>
        <w:rPr>
          <w:rFonts w:hint="eastAsia" w:ascii="Times New Roman" w:hAnsi="Times New Roman" w:eastAsiaTheme="minorEastAsia" w:cstheme="minorBidi"/>
          <w:kern w:val="2"/>
          <w:sz w:val="21"/>
          <w:szCs w:val="22"/>
          <w:lang w:val="en-US" w:eastAsia="zh-CN" w:bidi="ar-SA"/>
        </w:rPr>
        <w:t>因地制宜选育和种植抗病或早熟避病的品种，实行秋耕冬灌，与禾本科作物至少 3 年以上轮作。土壤环境符合GB15618要求，肥料符合NY/T496要求。结合整地人工铲埂等，可杀灭虫卵、幼虫和蛹。适期早播，合理密植，严格控制灌水量，加强田间管理，适当增施磷钾肥或草木灰，增强抗病力。收获后及时深翻30 cm以上，将病残体翻入土壤深层腐烂分解,减少侵染源。</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3.3.2 物理防治技术</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用糖醋液或黑光灯诱杀地老虎越冬代成虫，在春季成虫发生期设置诱蛾器(盆)诱杀成虫。</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3.3.3化学防治技术</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符合GB/T8321.9-2009和GB 4285-1989要求。</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（1）种子处理</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播种前用氟环咯苯甲种衣剂或咯菌腈种衣剂200 ml/100 kg进行种子拌种.防治土传病害。</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（2）药剂防治</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发病初期喷洒用25%丙环唑乳油30 ml/667m²-35 ml/667 m²或12.5%烯唑醇40 ml/667 m²或用19%啶氧·丙环唑悬浮剂50 ml/667 m²或50%甲基托布津1000倍或20%氯虫苯甲酰胺SC 10ml/667m²或高氯氟40ml/667m²或22% 噻虫·高氯氟30ml/667m²兑水喷施防治褐斑病、锈病、红花象甲和地下害虫等。</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3.3.4 技术依据</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 付文君、陈蓉、关丽菊、关志坚，红花错时播种高产栽培技术，科学与生活，2023.02</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 付文君、范荣霞、陈蓉、关丽菊、迪丽孜拉，伊犁河谷红花病虫害发生及绿色防控技术，科技新时代，2022.08</w:t>
      </w:r>
    </w:p>
    <w:p>
      <w:pPr>
        <w:pStyle w:val="3"/>
        <w:rPr>
          <w:rFonts w:hint="eastAsia" w:ascii="Times New Roman" w:hAnsi="Times New Roman"/>
          <w:sz w:val="28"/>
          <w:szCs w:val="28"/>
        </w:rPr>
      </w:pPr>
      <w:bookmarkStart w:id="7" w:name="_Toc32121"/>
      <w:r>
        <w:rPr>
          <w:rFonts w:hint="eastAsia" w:ascii="Times New Roman" w:hAnsi="Times New Roman"/>
          <w:sz w:val="28"/>
          <w:szCs w:val="28"/>
          <w:lang w:val="en-US" w:eastAsia="zh-CN"/>
        </w:rPr>
        <w:t>4 采用国际标准或国外先进标准的，说明采标程度，以及国内外</w:t>
      </w:r>
      <w:r>
        <w:rPr>
          <w:rFonts w:hint="eastAsia" w:ascii="Times New Roman" w:hAnsi="Times New Roman"/>
          <w:sz w:val="28"/>
          <w:szCs w:val="28"/>
        </w:rPr>
        <w:t>同类标准水平的对比情况</w:t>
      </w:r>
      <w:bookmarkEnd w:id="7"/>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本标准引用了GB/T8321.9-2009《农药合理使用准则》、GB 4285-1989 《农药安全使用标准》、NY/T496 《肥料合理使用准则》。GB15618《土壤环境质量标准》等标准的通用专业术语与部分原理等。伊犁州农业技术推广总站、察布查尔县农业技术推广站和伊犁州农业科学研究所等单位依托所承担的劳模工匠人才工作室资金、自治区少数民族特殊培养项目“察县红花新品种引进及配套栽培技术研究推广”（201423103）项目、重点研究与技术开发项目“伊犁河谷优质红花种质资源创制开发应用” （YZ2021A005）的开展实施，优化并制定了《红花病虫害绿色防控技术规程》，该文件的主要技术措施先后在察布查尔县和伊宁县进行了大面积示范推广应用，累计应用10万亩次，培训技术骨干2000人次，培训农民5200人次。该文件的应用大幅度降低了生产上化学农药不合理的使用量和施用次数，提质增效，经济效益和社会效益十分显著。</w:t>
      </w:r>
    </w:p>
    <w:p>
      <w:pPr>
        <w:pStyle w:val="3"/>
        <w:rPr>
          <w:rFonts w:hint="eastAsia" w:ascii="Times New Roman" w:hAnsi="Times New Roman"/>
          <w:sz w:val="28"/>
          <w:szCs w:val="28"/>
          <w:lang w:val="en-US" w:eastAsia="zh-CN"/>
        </w:rPr>
      </w:pPr>
      <w:bookmarkStart w:id="8" w:name="_Toc28546"/>
      <w:r>
        <w:rPr>
          <w:rFonts w:hint="eastAsia" w:ascii="Times New Roman" w:hAnsi="Times New Roman"/>
          <w:sz w:val="28"/>
          <w:szCs w:val="28"/>
          <w:lang w:val="en-US" w:eastAsia="zh-CN"/>
        </w:rPr>
        <w:t xml:space="preserve">5 </w:t>
      </w:r>
      <w:r>
        <w:rPr>
          <w:rFonts w:hint="eastAsia" w:ascii="Times New Roman" w:hAnsi="Times New Roman"/>
          <w:sz w:val="28"/>
          <w:szCs w:val="28"/>
        </w:rPr>
        <w:t>重大分歧意见的处理经过和依据</w:t>
      </w:r>
      <w:bookmarkEnd w:id="8"/>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本文件起草过程中没有重大意见分歧。</w:t>
      </w:r>
    </w:p>
    <w:p>
      <w:pPr>
        <w:pStyle w:val="3"/>
        <w:rPr>
          <w:rFonts w:hint="eastAsia" w:ascii="Times New Roman" w:hAnsi="Times New Roman"/>
          <w:sz w:val="28"/>
          <w:szCs w:val="28"/>
          <w:lang w:val="en-US" w:eastAsia="zh-CN"/>
        </w:rPr>
      </w:pPr>
      <w:bookmarkStart w:id="9" w:name="_Toc59617118"/>
      <w:bookmarkStart w:id="10" w:name="_Toc1819"/>
      <w:r>
        <w:rPr>
          <w:rFonts w:hint="eastAsia" w:ascii="Times New Roman" w:hAnsi="Times New Roman"/>
          <w:sz w:val="28"/>
          <w:szCs w:val="28"/>
          <w:lang w:val="en-US" w:eastAsia="zh-CN"/>
        </w:rPr>
        <w:t>6作为强制性地方标准或推荐性地方标准的建议</w:t>
      </w:r>
      <w:bookmarkEnd w:id="9"/>
      <w:bookmarkEnd w:id="10"/>
      <w:r>
        <w:rPr>
          <w:rFonts w:hint="eastAsia" w:ascii="Times New Roman" w:hAnsi="Times New Roman"/>
          <w:sz w:val="28"/>
          <w:szCs w:val="28"/>
          <w:lang w:val="en-US" w:eastAsia="zh-CN"/>
        </w:rPr>
        <w:t xml:space="preserve"> </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充分利用广播、电视、报刊、互联网等媒体，加大宣传力度，让群众充分理解掌握标准内容，认识到标准在保障我区红花生产中所具有的重要作用，提高标准意识，使群众接受标准。在标准应用中继续进一步开展相关技术研究，不断完善熟化技术，为以后标准文件的修订提供技术依据。</w:t>
      </w:r>
    </w:p>
    <w:p>
      <w:pPr>
        <w:pStyle w:val="3"/>
        <w:rPr>
          <w:rFonts w:hint="eastAsia" w:ascii="Times New Roman" w:hAnsi="Times New Roman"/>
          <w:sz w:val="28"/>
          <w:szCs w:val="28"/>
          <w:lang w:val="en-US" w:eastAsia="zh-CN"/>
        </w:rPr>
      </w:pPr>
      <w:bookmarkStart w:id="11" w:name="_Toc59617119"/>
      <w:bookmarkStart w:id="12" w:name="_Toc10211"/>
      <w:r>
        <w:rPr>
          <w:rFonts w:hint="eastAsia" w:ascii="Times New Roman" w:hAnsi="Times New Roman"/>
          <w:sz w:val="28"/>
          <w:szCs w:val="28"/>
          <w:lang w:val="en-US" w:eastAsia="zh-CN"/>
        </w:rPr>
        <w:t>7贯彻国家标准的要求和措施建议</w:t>
      </w:r>
      <w:bookmarkEnd w:id="11"/>
      <w:bookmarkEnd w:id="12"/>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（1）充分认识实施本规范对红花病虫害绿色防控重要指导意义。</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（2）加强宣传和培训力度，利用各种形式，对规范进行有计划</w:t>
      </w:r>
      <w:bookmarkStart w:id="15" w:name="_GoBack"/>
      <w:bookmarkEnd w:id="15"/>
      <w:r>
        <w:rPr>
          <w:rFonts w:hint="eastAsia" w:ascii="Times New Roman" w:hAnsi="Times New Roman"/>
          <w:lang w:val="en-US" w:eastAsia="zh-CN"/>
        </w:rPr>
        <w:t>、有步骤地组织讲解和培训，全面掌握、准确应用好规范，使其发挥出应有的作用。</w:t>
      </w:r>
    </w:p>
    <w:p>
      <w:pPr>
        <w:spacing w:line="360" w:lineRule="auto"/>
        <w:ind w:firstLine="420"/>
        <w:rPr>
          <w:rFonts w:hint="eastAsia"/>
          <w:sz w:val="28"/>
          <w:szCs w:val="28"/>
        </w:rPr>
      </w:pPr>
      <w:r>
        <w:rPr>
          <w:rFonts w:hint="eastAsia" w:ascii="Times New Roman" w:hAnsi="Times New Roman"/>
          <w:lang w:val="en-US" w:eastAsia="zh-CN"/>
        </w:rPr>
        <w:t>（3）检查监督本规范的实施情况，认真解决实施过程中发现的问题，全面评估实施后规范的作用和效益。</w:t>
      </w:r>
    </w:p>
    <w:p>
      <w:pPr>
        <w:pStyle w:val="3"/>
        <w:rPr>
          <w:rFonts w:hint="eastAsia" w:ascii="Times New Roman" w:hAnsi="Times New Roman"/>
          <w:sz w:val="28"/>
          <w:szCs w:val="28"/>
          <w:lang w:val="en-US" w:eastAsia="zh-CN"/>
        </w:rPr>
      </w:pPr>
      <w:bookmarkStart w:id="13" w:name="_Toc15555"/>
      <w:r>
        <w:rPr>
          <w:rFonts w:hint="eastAsia" w:ascii="Times New Roman" w:hAnsi="Times New Roman"/>
          <w:sz w:val="28"/>
          <w:szCs w:val="28"/>
          <w:lang w:val="en-US" w:eastAsia="zh-CN"/>
        </w:rPr>
        <w:t>8废止现行有关标准的建议</w:t>
      </w:r>
      <w:bookmarkEnd w:id="13"/>
    </w:p>
    <w:p>
      <w:pPr>
        <w:ind w:firstLine="420"/>
      </w:pPr>
      <w:r>
        <w:rPr>
          <w:rFonts w:hint="eastAsia"/>
        </w:rPr>
        <w:t>本标准的实施不涉及对现行标准的废止情况。</w:t>
      </w:r>
    </w:p>
    <w:p>
      <w:pPr>
        <w:pStyle w:val="3"/>
        <w:rPr>
          <w:sz w:val="28"/>
          <w:szCs w:val="28"/>
        </w:rPr>
      </w:pPr>
      <w:bookmarkStart w:id="14" w:name="_Toc20140"/>
      <w:r>
        <w:rPr>
          <w:rFonts w:hint="eastAsia"/>
          <w:sz w:val="28"/>
          <w:szCs w:val="28"/>
          <w:lang w:val="en-US" w:eastAsia="zh-CN"/>
        </w:rPr>
        <w:t>9</w:t>
      </w:r>
      <w:r>
        <w:rPr>
          <w:rFonts w:hint="eastAsia"/>
          <w:sz w:val="28"/>
          <w:szCs w:val="28"/>
        </w:rPr>
        <w:t>其他需要说明的内容</w:t>
      </w:r>
      <w:bookmarkEnd w:id="14"/>
    </w:p>
    <w:p>
      <w:pPr>
        <w:ind w:firstLine="420"/>
        <w:rPr>
          <w:rFonts w:eastAsia="宋体"/>
        </w:rPr>
      </w:pPr>
      <w:r>
        <w:rPr>
          <w:rFonts w:hint="eastAsia"/>
        </w:rPr>
        <w:t>无。</w:t>
      </w: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imes newroman">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Helvetica">
    <w:altName w:val="Arial"/>
    <w:panose1 w:val="020B0604020202020204"/>
    <w:charset w:val="00"/>
    <w:family w:val="auto"/>
    <w:pitch w:val="default"/>
    <w:sig w:usb0="00000000" w:usb1="00000000" w:usb2="00000000" w:usb3="00000000" w:csb0="00000093" w:csb1="00000000"/>
  </w:font>
  <w:font w:name="time">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firstLine="36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ind w:firstLine="36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20"/>
      </w:pPr>
      <w:r>
        <w:separator/>
      </w:r>
    </w:p>
  </w:footnote>
  <w:footnote w:type="continuationSeparator" w:id="1">
    <w:p>
      <w:pPr>
        <w:spacing w:line="30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9"/>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1"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426" w:firstLine="0"/>
      </w:pPr>
      <w:rPr>
        <w:rFonts w:hint="eastAsia" w:ascii="黑体" w:hAnsi="Times New Roman" w:eastAsia="黑体"/>
        <w:b w:val="0"/>
        <w:i w:val="0"/>
        <w:sz w:val="21"/>
      </w:rPr>
    </w:lvl>
    <w:lvl w:ilvl="3" w:tentative="0">
      <w:start w:val="1"/>
      <w:numFmt w:val="decimal"/>
      <w:suff w:val="nothing"/>
      <w:lvlText w:val="%1.%2.%3.%4　"/>
      <w:lvlJc w:val="left"/>
      <w:pPr>
        <w:ind w:left="710" w:firstLine="0"/>
      </w:pPr>
      <w:rPr>
        <w:rFonts w:hint="eastAsia" w:ascii="黑体" w:hAnsi="Times New Roman" w:eastAsia="黑体"/>
        <w:b w:val="0"/>
        <w:i w:val="0"/>
        <w:sz w:val="21"/>
      </w:rPr>
    </w:lvl>
    <w:lvl w:ilvl="4" w:tentative="0">
      <w:start w:val="1"/>
      <w:numFmt w:val="decimal"/>
      <w:suff w:val="nothing"/>
      <w:lvlText w:val="%1.%2.%3.%4.%5　"/>
      <w:lvlJc w:val="left"/>
      <w:pPr>
        <w:ind w:left="-141" w:firstLine="0"/>
      </w:pPr>
      <w:rPr>
        <w:rFonts w:hint="eastAsia" w:ascii="黑体" w:hAnsi="Times New Roman" w:eastAsia="黑体"/>
        <w:b w:val="0"/>
        <w:i w:val="0"/>
        <w:sz w:val="21"/>
      </w:rPr>
    </w:lvl>
    <w:lvl w:ilvl="5" w:tentative="0">
      <w:start w:val="1"/>
      <w:numFmt w:val="decimal"/>
      <w:suff w:val="nothing"/>
      <w:lvlText w:val="%1.%2.%3.%4.%5.%6　"/>
      <w:lvlJc w:val="left"/>
      <w:pPr>
        <w:ind w:left="-141" w:firstLine="0"/>
      </w:pPr>
      <w:rPr>
        <w:rFonts w:hint="eastAsia" w:ascii="黑体" w:hAnsi="Times New Roman" w:eastAsia="黑体"/>
        <w:b w:val="0"/>
        <w:i w:val="0"/>
        <w:sz w:val="21"/>
      </w:rPr>
    </w:lvl>
    <w:lvl w:ilvl="6" w:tentative="0">
      <w:start w:val="1"/>
      <w:numFmt w:val="decimal"/>
      <w:suff w:val="nothing"/>
      <w:lvlText w:val="%1%2.%3.%4.%5.%6.%7　"/>
      <w:lvlJc w:val="left"/>
      <w:pPr>
        <w:ind w:left="-141" w:firstLine="0"/>
      </w:pPr>
      <w:rPr>
        <w:rFonts w:hint="eastAsia" w:ascii="黑体" w:hAnsi="Times New Roman" w:eastAsia="黑体"/>
        <w:b w:val="0"/>
        <w:i w:val="0"/>
        <w:sz w:val="21"/>
      </w:rPr>
    </w:lvl>
    <w:lvl w:ilvl="7" w:tentative="0">
      <w:start w:val="1"/>
      <w:numFmt w:val="decimal"/>
      <w:lvlText w:val="%1.%2.%3.%4.%5.%6.%7.%8"/>
      <w:lvlJc w:val="left"/>
      <w:pPr>
        <w:tabs>
          <w:tab w:val="left" w:pos="4210"/>
        </w:tabs>
        <w:ind w:left="3828" w:hanging="1418"/>
      </w:pPr>
    </w:lvl>
    <w:lvl w:ilvl="8" w:tentative="0">
      <w:start w:val="1"/>
      <w:numFmt w:val="decimal"/>
      <w:lvlText w:val="%1.%2.%3.%4.%5.%6.%7.%8.%9"/>
      <w:lvlJc w:val="left"/>
      <w:pPr>
        <w:tabs>
          <w:tab w:val="left" w:pos="4636"/>
        </w:tabs>
        <w:ind w:left="4536" w:hanging="1700"/>
      </w:pPr>
    </w:lvl>
  </w:abstractNum>
  <w:abstractNum w:abstractNumId="1">
    <w:nsid w:val="646260FA"/>
    <w:multiLevelType w:val="multilevel"/>
    <w:tmpl w:val="646260FA"/>
    <w:lvl w:ilvl="0" w:tentative="0">
      <w:start w:val="1"/>
      <w:numFmt w:val="decimal"/>
      <w:pStyle w:val="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1M2NkMDg1ODE3ZmUyNTY1N2UwYTQwYmRiZDFjZmEifQ=="/>
    <w:docVar w:name="KSO_WPS_MARK_KEY" w:val="72aef098-c600-4358-96d2-1f90e697e72b"/>
  </w:docVars>
  <w:rsids>
    <w:rsidRoot w:val="00172A27"/>
    <w:rsid w:val="00021292"/>
    <w:rsid w:val="00027D49"/>
    <w:rsid w:val="00055521"/>
    <w:rsid w:val="000617D9"/>
    <w:rsid w:val="000666C8"/>
    <w:rsid w:val="000707FA"/>
    <w:rsid w:val="00074406"/>
    <w:rsid w:val="00085D6C"/>
    <w:rsid w:val="000A79D2"/>
    <w:rsid w:val="000B5B41"/>
    <w:rsid w:val="000E2F1E"/>
    <w:rsid w:val="000F25EB"/>
    <w:rsid w:val="00133A57"/>
    <w:rsid w:val="00134F6D"/>
    <w:rsid w:val="00142964"/>
    <w:rsid w:val="00160210"/>
    <w:rsid w:val="001637CC"/>
    <w:rsid w:val="00172A27"/>
    <w:rsid w:val="00186ED8"/>
    <w:rsid w:val="001A19AA"/>
    <w:rsid w:val="001B0E8F"/>
    <w:rsid w:val="001B337F"/>
    <w:rsid w:val="001E06BF"/>
    <w:rsid w:val="001E3D89"/>
    <w:rsid w:val="001F14D4"/>
    <w:rsid w:val="001F5DBF"/>
    <w:rsid w:val="002144CF"/>
    <w:rsid w:val="00221FA7"/>
    <w:rsid w:val="00227477"/>
    <w:rsid w:val="00251140"/>
    <w:rsid w:val="00264BB8"/>
    <w:rsid w:val="0027751A"/>
    <w:rsid w:val="00287F6C"/>
    <w:rsid w:val="002A2FE8"/>
    <w:rsid w:val="002A7479"/>
    <w:rsid w:val="002E015C"/>
    <w:rsid w:val="002F1D6E"/>
    <w:rsid w:val="00302038"/>
    <w:rsid w:val="003025C2"/>
    <w:rsid w:val="003028CB"/>
    <w:rsid w:val="00304A7A"/>
    <w:rsid w:val="0032555C"/>
    <w:rsid w:val="0033553A"/>
    <w:rsid w:val="0034004A"/>
    <w:rsid w:val="003506A7"/>
    <w:rsid w:val="00367AAF"/>
    <w:rsid w:val="00374DE7"/>
    <w:rsid w:val="00375714"/>
    <w:rsid w:val="00376F3D"/>
    <w:rsid w:val="00384E54"/>
    <w:rsid w:val="003B4B27"/>
    <w:rsid w:val="003B4FD3"/>
    <w:rsid w:val="003B7D35"/>
    <w:rsid w:val="003C4466"/>
    <w:rsid w:val="003D02F9"/>
    <w:rsid w:val="003E62FE"/>
    <w:rsid w:val="003F2EF9"/>
    <w:rsid w:val="0040113D"/>
    <w:rsid w:val="004051E8"/>
    <w:rsid w:val="00412848"/>
    <w:rsid w:val="004147F6"/>
    <w:rsid w:val="0042493E"/>
    <w:rsid w:val="00431B79"/>
    <w:rsid w:val="00433479"/>
    <w:rsid w:val="0044584F"/>
    <w:rsid w:val="00464DC1"/>
    <w:rsid w:val="004833C5"/>
    <w:rsid w:val="00492343"/>
    <w:rsid w:val="004A4FA9"/>
    <w:rsid w:val="004B69F1"/>
    <w:rsid w:val="004D2108"/>
    <w:rsid w:val="00503E1F"/>
    <w:rsid w:val="00537FB3"/>
    <w:rsid w:val="00546B12"/>
    <w:rsid w:val="00551FC7"/>
    <w:rsid w:val="00571887"/>
    <w:rsid w:val="00581123"/>
    <w:rsid w:val="005A4521"/>
    <w:rsid w:val="005A5453"/>
    <w:rsid w:val="005B425F"/>
    <w:rsid w:val="005C339A"/>
    <w:rsid w:val="005C674B"/>
    <w:rsid w:val="005E4CB0"/>
    <w:rsid w:val="005F68A9"/>
    <w:rsid w:val="00621D54"/>
    <w:rsid w:val="00633F28"/>
    <w:rsid w:val="00637F68"/>
    <w:rsid w:val="00641116"/>
    <w:rsid w:val="006411E2"/>
    <w:rsid w:val="00645B82"/>
    <w:rsid w:val="006524E6"/>
    <w:rsid w:val="00670FB2"/>
    <w:rsid w:val="00671B03"/>
    <w:rsid w:val="00684E2C"/>
    <w:rsid w:val="00691ECE"/>
    <w:rsid w:val="00693EA6"/>
    <w:rsid w:val="006960BE"/>
    <w:rsid w:val="006A1C80"/>
    <w:rsid w:val="006C392F"/>
    <w:rsid w:val="006F17BF"/>
    <w:rsid w:val="007014AB"/>
    <w:rsid w:val="007C1621"/>
    <w:rsid w:val="007C45FB"/>
    <w:rsid w:val="007C6AF1"/>
    <w:rsid w:val="007E0AB7"/>
    <w:rsid w:val="007E307A"/>
    <w:rsid w:val="007F25FE"/>
    <w:rsid w:val="008045BC"/>
    <w:rsid w:val="00826DC7"/>
    <w:rsid w:val="00835869"/>
    <w:rsid w:val="00864215"/>
    <w:rsid w:val="00867EDF"/>
    <w:rsid w:val="00877211"/>
    <w:rsid w:val="008B66FE"/>
    <w:rsid w:val="008E3FF8"/>
    <w:rsid w:val="008E5F9A"/>
    <w:rsid w:val="00904125"/>
    <w:rsid w:val="00916371"/>
    <w:rsid w:val="0094367A"/>
    <w:rsid w:val="00945876"/>
    <w:rsid w:val="00954EB2"/>
    <w:rsid w:val="009C4021"/>
    <w:rsid w:val="009D7EB9"/>
    <w:rsid w:val="009E1A10"/>
    <w:rsid w:val="00A049C1"/>
    <w:rsid w:val="00A21B37"/>
    <w:rsid w:val="00A237F8"/>
    <w:rsid w:val="00A6207D"/>
    <w:rsid w:val="00A92EE1"/>
    <w:rsid w:val="00A9629A"/>
    <w:rsid w:val="00AA1E01"/>
    <w:rsid w:val="00AB2453"/>
    <w:rsid w:val="00AB69E6"/>
    <w:rsid w:val="00AC4A29"/>
    <w:rsid w:val="00AF0425"/>
    <w:rsid w:val="00B02D7A"/>
    <w:rsid w:val="00B07900"/>
    <w:rsid w:val="00B3464A"/>
    <w:rsid w:val="00B40820"/>
    <w:rsid w:val="00B70004"/>
    <w:rsid w:val="00B73051"/>
    <w:rsid w:val="00B87F75"/>
    <w:rsid w:val="00BA1D22"/>
    <w:rsid w:val="00BB358E"/>
    <w:rsid w:val="00BB7CE7"/>
    <w:rsid w:val="00BC14A2"/>
    <w:rsid w:val="00BD6801"/>
    <w:rsid w:val="00C11499"/>
    <w:rsid w:val="00C2057E"/>
    <w:rsid w:val="00C3614A"/>
    <w:rsid w:val="00C46307"/>
    <w:rsid w:val="00C57314"/>
    <w:rsid w:val="00C602F3"/>
    <w:rsid w:val="00C81C27"/>
    <w:rsid w:val="00C85686"/>
    <w:rsid w:val="00CA057E"/>
    <w:rsid w:val="00CA7A3B"/>
    <w:rsid w:val="00CE119C"/>
    <w:rsid w:val="00CF5984"/>
    <w:rsid w:val="00D0444C"/>
    <w:rsid w:val="00D04D63"/>
    <w:rsid w:val="00D208B1"/>
    <w:rsid w:val="00D4476D"/>
    <w:rsid w:val="00D47FF7"/>
    <w:rsid w:val="00D60633"/>
    <w:rsid w:val="00D80BBD"/>
    <w:rsid w:val="00DA7750"/>
    <w:rsid w:val="00DB59FB"/>
    <w:rsid w:val="00DC2519"/>
    <w:rsid w:val="00DD3466"/>
    <w:rsid w:val="00DE65E9"/>
    <w:rsid w:val="00DF2E54"/>
    <w:rsid w:val="00DF4B00"/>
    <w:rsid w:val="00E00851"/>
    <w:rsid w:val="00E3716A"/>
    <w:rsid w:val="00E40570"/>
    <w:rsid w:val="00E413F5"/>
    <w:rsid w:val="00E51F1A"/>
    <w:rsid w:val="00E577DA"/>
    <w:rsid w:val="00E631F9"/>
    <w:rsid w:val="00E64685"/>
    <w:rsid w:val="00E7733D"/>
    <w:rsid w:val="00E82D1E"/>
    <w:rsid w:val="00E92266"/>
    <w:rsid w:val="00E94CBE"/>
    <w:rsid w:val="00EA39D9"/>
    <w:rsid w:val="00EA53F5"/>
    <w:rsid w:val="00EA65F8"/>
    <w:rsid w:val="00EC4179"/>
    <w:rsid w:val="00EF7941"/>
    <w:rsid w:val="00F10F15"/>
    <w:rsid w:val="00F1610C"/>
    <w:rsid w:val="00F32C64"/>
    <w:rsid w:val="00F4141C"/>
    <w:rsid w:val="00F46FC7"/>
    <w:rsid w:val="00F53AEF"/>
    <w:rsid w:val="00F54FDE"/>
    <w:rsid w:val="00F560A9"/>
    <w:rsid w:val="00F64741"/>
    <w:rsid w:val="00F67F61"/>
    <w:rsid w:val="00FE07D6"/>
    <w:rsid w:val="00FE322D"/>
    <w:rsid w:val="00FE5918"/>
    <w:rsid w:val="00FF680F"/>
    <w:rsid w:val="00FF7C99"/>
    <w:rsid w:val="00FF7EEF"/>
    <w:rsid w:val="01E0373D"/>
    <w:rsid w:val="04787216"/>
    <w:rsid w:val="04C07196"/>
    <w:rsid w:val="0569046E"/>
    <w:rsid w:val="06D92865"/>
    <w:rsid w:val="07131E9F"/>
    <w:rsid w:val="07446D2D"/>
    <w:rsid w:val="078347F0"/>
    <w:rsid w:val="08C45E5B"/>
    <w:rsid w:val="08E0455D"/>
    <w:rsid w:val="0954257F"/>
    <w:rsid w:val="0A0F1775"/>
    <w:rsid w:val="0A2B37E2"/>
    <w:rsid w:val="0A397E8E"/>
    <w:rsid w:val="0BB3207C"/>
    <w:rsid w:val="0C144FE4"/>
    <w:rsid w:val="0C3965A2"/>
    <w:rsid w:val="0D5D78CE"/>
    <w:rsid w:val="0DF81FD3"/>
    <w:rsid w:val="10190EDB"/>
    <w:rsid w:val="129B2C7C"/>
    <w:rsid w:val="15873E1B"/>
    <w:rsid w:val="182832D6"/>
    <w:rsid w:val="18CB31EB"/>
    <w:rsid w:val="194554AF"/>
    <w:rsid w:val="1B46240B"/>
    <w:rsid w:val="1C321F49"/>
    <w:rsid w:val="1CF76E50"/>
    <w:rsid w:val="1D7E5E8C"/>
    <w:rsid w:val="1D8A1EEE"/>
    <w:rsid w:val="1FC71AD9"/>
    <w:rsid w:val="20582684"/>
    <w:rsid w:val="20706CE7"/>
    <w:rsid w:val="20F4383F"/>
    <w:rsid w:val="2261535F"/>
    <w:rsid w:val="22CA355E"/>
    <w:rsid w:val="2346350C"/>
    <w:rsid w:val="24140A51"/>
    <w:rsid w:val="24B43019"/>
    <w:rsid w:val="25860679"/>
    <w:rsid w:val="26DC7DEE"/>
    <w:rsid w:val="27341EE4"/>
    <w:rsid w:val="275D1294"/>
    <w:rsid w:val="29174B99"/>
    <w:rsid w:val="2AAD52B8"/>
    <w:rsid w:val="2AF03C10"/>
    <w:rsid w:val="2C216097"/>
    <w:rsid w:val="2E831CBB"/>
    <w:rsid w:val="30C548B8"/>
    <w:rsid w:val="31D0501D"/>
    <w:rsid w:val="322835E7"/>
    <w:rsid w:val="350A24A1"/>
    <w:rsid w:val="37226445"/>
    <w:rsid w:val="384C021F"/>
    <w:rsid w:val="38BD051D"/>
    <w:rsid w:val="3A815527"/>
    <w:rsid w:val="3AE11C2A"/>
    <w:rsid w:val="3BD54BDE"/>
    <w:rsid w:val="3DCD0A41"/>
    <w:rsid w:val="3DCD728C"/>
    <w:rsid w:val="404264A6"/>
    <w:rsid w:val="40BA5586"/>
    <w:rsid w:val="43B426D6"/>
    <w:rsid w:val="43BB5E3A"/>
    <w:rsid w:val="43D66AA7"/>
    <w:rsid w:val="44653435"/>
    <w:rsid w:val="458614D2"/>
    <w:rsid w:val="481C0022"/>
    <w:rsid w:val="48316E6C"/>
    <w:rsid w:val="48453C08"/>
    <w:rsid w:val="49587CD4"/>
    <w:rsid w:val="49AA755F"/>
    <w:rsid w:val="4A3F4C3D"/>
    <w:rsid w:val="4A93406D"/>
    <w:rsid w:val="4E30647F"/>
    <w:rsid w:val="4E34241C"/>
    <w:rsid w:val="4F595BBA"/>
    <w:rsid w:val="4F915375"/>
    <w:rsid w:val="501E7FCF"/>
    <w:rsid w:val="50224CBE"/>
    <w:rsid w:val="50A21717"/>
    <w:rsid w:val="51FD5C5C"/>
    <w:rsid w:val="52703FD0"/>
    <w:rsid w:val="56B64ECC"/>
    <w:rsid w:val="56FA4DDF"/>
    <w:rsid w:val="5B1B67D2"/>
    <w:rsid w:val="5B3C433A"/>
    <w:rsid w:val="5B6730BD"/>
    <w:rsid w:val="5B8546F8"/>
    <w:rsid w:val="5C405CEE"/>
    <w:rsid w:val="5CB9461B"/>
    <w:rsid w:val="5DE31167"/>
    <w:rsid w:val="5EE25574"/>
    <w:rsid w:val="5F462AB6"/>
    <w:rsid w:val="5FBF0F0E"/>
    <w:rsid w:val="606A6392"/>
    <w:rsid w:val="61FE70B2"/>
    <w:rsid w:val="62C60C6B"/>
    <w:rsid w:val="64143879"/>
    <w:rsid w:val="641F644B"/>
    <w:rsid w:val="67690662"/>
    <w:rsid w:val="68421CD2"/>
    <w:rsid w:val="69A66709"/>
    <w:rsid w:val="6A565856"/>
    <w:rsid w:val="6C140E63"/>
    <w:rsid w:val="6C8C180F"/>
    <w:rsid w:val="6C8E49FD"/>
    <w:rsid w:val="6D472D17"/>
    <w:rsid w:val="6DF714AD"/>
    <w:rsid w:val="711B6B93"/>
    <w:rsid w:val="72297583"/>
    <w:rsid w:val="72BF3244"/>
    <w:rsid w:val="733C7822"/>
    <w:rsid w:val="73937BFF"/>
    <w:rsid w:val="73CE218C"/>
    <w:rsid w:val="7448129E"/>
    <w:rsid w:val="77B22B0B"/>
    <w:rsid w:val="77CB1717"/>
    <w:rsid w:val="7C3C62AB"/>
    <w:rsid w:val="7C667344"/>
    <w:rsid w:val="7C90656F"/>
    <w:rsid w:val="7DAA2CC3"/>
    <w:rsid w:val="7DE07F94"/>
    <w:rsid w:val="7DFE473A"/>
    <w:rsid w:val="7E114AC5"/>
    <w:rsid w:val="7E243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00" w:lineRule="auto"/>
      <w:ind w:firstLine="200" w:firstLineChars="200"/>
      <w:jc w:val="both"/>
    </w:pPr>
    <w:rPr>
      <w:rFonts w:ascii="Times New Roman" w:hAnsi="Times New Roman" w:eastAsiaTheme="minorEastAsia" w:cstheme="minorBidi"/>
      <w:kern w:val="2"/>
      <w:sz w:val="21"/>
      <w:szCs w:val="22"/>
      <w:lang w:val="en-US" w:eastAsia="zh-CN" w:bidi="ar-SA"/>
    </w:rPr>
  </w:style>
  <w:style w:type="paragraph" w:styleId="3">
    <w:name w:val="heading 1"/>
    <w:basedOn w:val="1"/>
    <w:next w:val="1"/>
    <w:link w:val="29"/>
    <w:qFormat/>
    <w:uiPriority w:val="9"/>
    <w:pPr>
      <w:keepNext/>
      <w:keepLines/>
      <w:outlineLvl w:val="0"/>
    </w:pPr>
    <w:rPr>
      <w:rFonts w:ascii="Times New Roman" w:hAnsi="Times New Roman" w:eastAsiaTheme="minorEastAsia" w:cstheme="minorBidi"/>
      <w:b/>
      <w:bCs/>
      <w:kern w:val="44"/>
      <w:sz w:val="32"/>
      <w:szCs w:val="44"/>
      <w:lang w:val="en-US" w:eastAsia="zh-CN" w:bidi="ar-SA"/>
    </w:rPr>
  </w:style>
  <w:style w:type="paragraph" w:styleId="4">
    <w:name w:val="heading 2"/>
    <w:basedOn w:val="1"/>
    <w:next w:val="1"/>
    <w:link w:val="28"/>
    <w:unhideWhenUsed/>
    <w:qFormat/>
    <w:uiPriority w:val="0"/>
    <w:pPr>
      <w:keepNext/>
      <w:keepLines/>
      <w:spacing w:before="150" w:after="150"/>
      <w:outlineLvl w:val="1"/>
    </w:pPr>
    <w:rPr>
      <w:rFonts w:ascii="times newroman" w:hAnsi="times newroman" w:eastAsia="黑体" w:cstheme="majorBidi"/>
      <w:bCs/>
      <w:sz w:val="32"/>
      <w:szCs w:val="32"/>
    </w:rPr>
  </w:style>
  <w:style w:type="paragraph" w:styleId="5">
    <w:name w:val="heading 3"/>
    <w:next w:val="1"/>
    <w:link w:val="27"/>
    <w:unhideWhenUsed/>
    <w:qFormat/>
    <w:uiPriority w:val="99"/>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6">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footer"/>
    <w:basedOn w:val="1"/>
    <w:next w:val="1"/>
    <w:link w:val="23"/>
    <w:unhideWhenUsed/>
    <w:qFormat/>
    <w:uiPriority w:val="99"/>
    <w:pPr>
      <w:tabs>
        <w:tab w:val="center" w:pos="4153"/>
        <w:tab w:val="right" w:pos="8306"/>
      </w:tabs>
      <w:snapToGrid w:val="0"/>
      <w:jc w:val="left"/>
    </w:pPr>
    <w:rPr>
      <w:sz w:val="18"/>
      <w:szCs w:val="18"/>
    </w:rPr>
  </w:style>
  <w:style w:type="paragraph" w:styleId="7">
    <w:name w:val="annotation text"/>
    <w:basedOn w:val="1"/>
    <w:link w:val="35"/>
    <w:semiHidden/>
    <w:unhideWhenUsed/>
    <w:qFormat/>
    <w:uiPriority w:val="99"/>
    <w:pPr>
      <w:jc w:val="left"/>
    </w:pPr>
  </w:style>
  <w:style w:type="paragraph" w:styleId="8">
    <w:name w:val="Date"/>
    <w:basedOn w:val="1"/>
    <w:next w:val="1"/>
    <w:link w:val="30"/>
    <w:semiHidden/>
    <w:unhideWhenUsed/>
    <w:qFormat/>
    <w:uiPriority w:val="99"/>
    <w:pPr>
      <w:ind w:left="100" w:leftChars="2500"/>
    </w:pPr>
  </w:style>
  <w:style w:type="paragraph" w:styleId="9">
    <w:name w:val="Balloon Text"/>
    <w:basedOn w:val="1"/>
    <w:link w:val="26"/>
    <w:semiHidden/>
    <w:unhideWhenUsed/>
    <w:qFormat/>
    <w:uiPriority w:val="99"/>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annotation subject"/>
    <w:basedOn w:val="7"/>
    <w:next w:val="7"/>
    <w:link w:val="36"/>
    <w:semiHidden/>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FollowedHyperlink"/>
    <w:basedOn w:val="16"/>
    <w:semiHidden/>
    <w:unhideWhenUsed/>
    <w:qFormat/>
    <w:uiPriority w:val="99"/>
    <w:rPr>
      <w:color w:val="800080"/>
      <w:u w:val="single"/>
    </w:rPr>
  </w:style>
  <w:style w:type="character" w:styleId="19">
    <w:name w:val="Emphasis"/>
    <w:basedOn w:val="16"/>
    <w:qFormat/>
    <w:uiPriority w:val="20"/>
    <w:rPr>
      <w:i/>
    </w:rPr>
  </w:style>
  <w:style w:type="character" w:styleId="20">
    <w:name w:val="Hyperlink"/>
    <w:basedOn w:val="16"/>
    <w:unhideWhenUsed/>
    <w:qFormat/>
    <w:uiPriority w:val="99"/>
    <w:rPr>
      <w:color w:val="0000FF"/>
      <w:u w:val="single"/>
    </w:rPr>
  </w:style>
  <w:style w:type="character" w:styleId="21">
    <w:name w:val="annotation reference"/>
    <w:basedOn w:val="16"/>
    <w:semiHidden/>
    <w:unhideWhenUsed/>
    <w:qFormat/>
    <w:uiPriority w:val="99"/>
    <w:rPr>
      <w:sz w:val="21"/>
      <w:szCs w:val="21"/>
    </w:rPr>
  </w:style>
  <w:style w:type="character" w:customStyle="1" w:styleId="22">
    <w:name w:val="页眉 字符"/>
    <w:basedOn w:val="16"/>
    <w:link w:val="10"/>
    <w:qFormat/>
    <w:uiPriority w:val="99"/>
    <w:rPr>
      <w:sz w:val="18"/>
      <w:szCs w:val="18"/>
    </w:rPr>
  </w:style>
  <w:style w:type="character" w:customStyle="1" w:styleId="23">
    <w:name w:val="页脚 字符"/>
    <w:basedOn w:val="16"/>
    <w:link w:val="2"/>
    <w:qFormat/>
    <w:uiPriority w:val="99"/>
    <w:rPr>
      <w:sz w:val="18"/>
      <w:szCs w:val="18"/>
    </w:rPr>
  </w:style>
  <w:style w:type="paragraph" w:styleId="24">
    <w:name w:val="List Paragraph"/>
    <w:basedOn w:val="1"/>
    <w:qFormat/>
    <w:uiPriority w:val="34"/>
    <w:pPr>
      <w:ind w:firstLine="420"/>
    </w:pPr>
  </w:style>
  <w:style w:type="paragraph" w:customStyle="1" w:styleId="25">
    <w:name w:val="正文表标题"/>
    <w:next w:val="1"/>
    <w:qFormat/>
    <w:uiPriority w:val="0"/>
    <w:pPr>
      <w:numPr>
        <w:ilvl w:val="0"/>
        <w:numId w:val="1"/>
      </w:numPr>
      <w:tabs>
        <w:tab w:val="left" w:pos="360"/>
      </w:tabs>
      <w:spacing w:beforeLines="50" w:afterLines="50"/>
      <w:jc w:val="center"/>
    </w:pPr>
    <w:rPr>
      <w:rFonts w:ascii="黑体" w:hAnsi="Calibri" w:eastAsia="黑体" w:cs="Times New Roman"/>
      <w:sz w:val="21"/>
      <w:lang w:val="en-US" w:eastAsia="zh-CN" w:bidi="ar-SA"/>
    </w:rPr>
  </w:style>
  <w:style w:type="character" w:customStyle="1" w:styleId="26">
    <w:name w:val="批注框文本 字符"/>
    <w:basedOn w:val="16"/>
    <w:link w:val="9"/>
    <w:semiHidden/>
    <w:qFormat/>
    <w:uiPriority w:val="99"/>
    <w:rPr>
      <w:sz w:val="18"/>
      <w:szCs w:val="18"/>
    </w:rPr>
  </w:style>
  <w:style w:type="character" w:customStyle="1" w:styleId="27">
    <w:name w:val="标题 3 字符"/>
    <w:basedOn w:val="16"/>
    <w:link w:val="5"/>
    <w:qFormat/>
    <w:uiPriority w:val="99"/>
    <w:rPr>
      <w:rFonts w:ascii="Times New Roman" w:hAnsi="Times New Roman" w:eastAsia="黑体"/>
      <w:bCs/>
      <w:sz w:val="30"/>
      <w:szCs w:val="32"/>
    </w:rPr>
  </w:style>
  <w:style w:type="character" w:customStyle="1" w:styleId="28">
    <w:name w:val="标题 2 字符"/>
    <w:basedOn w:val="16"/>
    <w:link w:val="4"/>
    <w:qFormat/>
    <w:uiPriority w:val="0"/>
    <w:rPr>
      <w:rFonts w:ascii="times newroman" w:hAnsi="times newroman" w:eastAsia="黑体" w:cstheme="majorBidi"/>
      <w:bCs/>
      <w:sz w:val="32"/>
      <w:szCs w:val="32"/>
    </w:rPr>
  </w:style>
  <w:style w:type="character" w:customStyle="1" w:styleId="29">
    <w:name w:val="标题 1 字符"/>
    <w:basedOn w:val="16"/>
    <w:link w:val="3"/>
    <w:qFormat/>
    <w:uiPriority w:val="9"/>
    <w:rPr>
      <w:rFonts w:ascii="Times New Roman" w:hAnsi="Times New Roman"/>
      <w:b/>
      <w:bCs/>
      <w:kern w:val="44"/>
      <w:sz w:val="32"/>
      <w:szCs w:val="44"/>
    </w:rPr>
  </w:style>
  <w:style w:type="character" w:customStyle="1" w:styleId="30">
    <w:name w:val="日期 字符"/>
    <w:basedOn w:val="16"/>
    <w:link w:val="8"/>
    <w:semiHidden/>
    <w:qFormat/>
    <w:uiPriority w:val="99"/>
    <w:rPr>
      <w:rFonts w:ascii="Times New Roman" w:hAnsi="Times New Roman"/>
    </w:rPr>
  </w:style>
  <w:style w:type="paragraph" w:customStyle="1" w:styleId="31">
    <w:name w:val="Default"/>
    <w:unhideWhenUsed/>
    <w:qFormat/>
    <w:uiPriority w:val="99"/>
    <w:pPr>
      <w:widowControl w:val="0"/>
      <w:autoSpaceDE w:val="0"/>
      <w:autoSpaceDN w:val="0"/>
      <w:adjustRightInd w:val="0"/>
    </w:pPr>
    <w:rPr>
      <w:rFonts w:ascii="Times New Roman" w:hAnsi="Times New Roman" w:eastAsia="Times New Roman" w:cstheme="minorBidi"/>
      <w:color w:val="000000"/>
      <w:sz w:val="24"/>
      <w:szCs w:val="24"/>
      <w:lang w:val="en-US" w:eastAsia="zh-CN" w:bidi="ar-SA"/>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4">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character" w:customStyle="1" w:styleId="35">
    <w:name w:val="批注文字 字符"/>
    <w:basedOn w:val="16"/>
    <w:link w:val="7"/>
    <w:semiHidden/>
    <w:qFormat/>
    <w:uiPriority w:val="99"/>
    <w:rPr>
      <w:rFonts w:ascii="Times New Roman" w:hAnsi="Times New Roman"/>
      <w:kern w:val="2"/>
      <w:sz w:val="21"/>
      <w:szCs w:val="22"/>
    </w:rPr>
  </w:style>
  <w:style w:type="character" w:customStyle="1" w:styleId="36">
    <w:name w:val="批注主题 字符"/>
    <w:basedOn w:val="35"/>
    <w:link w:val="13"/>
    <w:semiHidden/>
    <w:qFormat/>
    <w:uiPriority w:val="99"/>
    <w:rPr>
      <w:rFonts w:ascii="Times New Roman" w:hAnsi="Times New Roman"/>
      <w:b/>
      <w:bCs/>
      <w:kern w:val="2"/>
      <w:sz w:val="21"/>
      <w:szCs w:val="22"/>
    </w:rPr>
  </w:style>
  <w:style w:type="paragraph" w:customStyle="1" w:styleId="37">
    <w:name w:val="标准文件_文件名称"/>
    <w:basedOn w:val="38"/>
    <w:next w:val="3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9">
    <w:name w:val="章标题"/>
    <w:next w:val="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F5917F-7A15-4CE1-B582-CD4152531A20}">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8</Pages>
  <Words>4084</Words>
  <Characters>4729</Characters>
  <Lines>75</Lines>
  <Paragraphs>21</Paragraphs>
  <TotalTime>1</TotalTime>
  <ScaleCrop>false</ScaleCrop>
  <LinksUpToDate>false</LinksUpToDate>
  <CharactersWithSpaces>7968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2022-08-08T01:53:00Z</dcterms:created>
  <dc:creator>lh_fx</dc:creator>
  <cp:lastModifiedBy>Administrator</cp:lastModifiedBy>
  <dcterms:modified xsi:type="dcterms:W3CDTF">2023-08-20T15:06:35Z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D3909599BE5A44DE848178CB7CF271D5_13</vt:lpwstr>
  </property>
</Properties>
</file>