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eastAsia="黑体"/>
          <w:kern w:val="0"/>
          <w:sz w:val="32"/>
          <w:szCs w:val="32"/>
        </w:rPr>
      </w:pPr>
      <w:r>
        <w:rPr>
          <w:rFonts w:ascii="黑体" w:hAnsi="黑体" w:eastAsia="黑体"/>
          <w:kern w:val="0"/>
          <w:sz w:val="32"/>
          <w:szCs w:val="32"/>
        </w:rPr>
        <w:t>《</w:t>
      </w:r>
      <w:r>
        <w:rPr>
          <w:rFonts w:hint="eastAsia" w:ascii="黑体" w:hAnsi="黑体" w:eastAsia="黑体"/>
          <w:sz w:val="32"/>
          <w:szCs w:val="32"/>
        </w:rPr>
        <w:t>玉米秸秆压块</w:t>
      </w:r>
      <w:r>
        <w:rPr>
          <w:rFonts w:hint="eastAsia" w:ascii="黑体" w:hAnsi="黑体" w:eastAsia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颗粒</w:t>
      </w:r>
      <w:r>
        <w:rPr>
          <w:rFonts w:hint="eastAsia" w:ascii="黑体" w:hAnsi="黑体" w:eastAsia="黑体"/>
          <w:sz w:val="32"/>
          <w:szCs w:val="32"/>
          <w:lang w:eastAsia="zh-CN"/>
        </w:rPr>
        <w:t>）</w:t>
      </w:r>
      <w:r>
        <w:rPr>
          <w:rFonts w:hint="eastAsia" w:ascii="黑体" w:hAnsi="黑体" w:eastAsia="黑体"/>
          <w:sz w:val="32"/>
          <w:szCs w:val="32"/>
        </w:rPr>
        <w:t>饲料操作技术规程</w:t>
      </w:r>
      <w:r>
        <w:rPr>
          <w:rFonts w:ascii="黑体" w:hAnsi="黑体" w:eastAsia="黑体"/>
          <w:kern w:val="0"/>
          <w:sz w:val="32"/>
          <w:szCs w:val="32"/>
        </w:rPr>
        <w:t>》</w:t>
      </w:r>
      <w:r>
        <w:rPr>
          <w:rFonts w:eastAsia="黑体"/>
          <w:kern w:val="0"/>
          <w:sz w:val="32"/>
          <w:szCs w:val="32"/>
        </w:rPr>
        <w:t>编制说明</w:t>
      </w: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eastAsia="黑体"/>
          <w:kern w:val="0"/>
          <w:sz w:val="32"/>
          <w:szCs w:val="32"/>
        </w:rPr>
      </w:pPr>
    </w:p>
    <w:p>
      <w:pPr>
        <w:snapToGrid w:val="0"/>
        <w:spacing w:line="360" w:lineRule="auto"/>
        <w:ind w:firstLine="560" w:firstLineChars="200"/>
        <w:rPr>
          <w:rFonts w:eastAsia="黑体"/>
          <w:kern w:val="0"/>
          <w:sz w:val="28"/>
          <w:szCs w:val="28"/>
        </w:rPr>
      </w:pPr>
      <w:r>
        <w:rPr>
          <w:rFonts w:eastAsia="黑体"/>
          <w:kern w:val="0"/>
          <w:sz w:val="28"/>
          <w:szCs w:val="28"/>
        </w:rPr>
        <w:t>一、编制的目的和意义</w:t>
      </w:r>
    </w:p>
    <w:p>
      <w:pPr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、制定本标准的背景</w:t>
      </w:r>
    </w:p>
    <w:p>
      <w:pPr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近年来，随着农村劳动力转移、能源消费结构变化，加上秸秆综合利用产业化程度低、经济性差等原因，开始出现了季节性、地区性、结构性的秸秆过剩，违规焚烧现象屡禁不止，不仅浪费资源、污染环境，还严重威胁交通运输安全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甜叶菊秸秆、</w:t>
      </w:r>
      <w:r>
        <w:rPr>
          <w:rFonts w:hint="eastAsia" w:ascii="宋体" w:hAnsi="宋体" w:eastAsia="宋体" w:cs="宋体"/>
          <w:sz w:val="24"/>
          <w:szCs w:val="24"/>
        </w:rPr>
        <w:t>玉米秸秆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、玉米芯</w:t>
      </w:r>
      <w:r>
        <w:rPr>
          <w:rFonts w:hint="eastAsia" w:ascii="宋体" w:hAnsi="宋体" w:eastAsia="宋体" w:cs="宋体"/>
          <w:sz w:val="24"/>
          <w:szCs w:val="24"/>
        </w:rPr>
        <w:t>富含有机质、氮磷钾和微量元素，是一种多用途的、可再生的生物资源，长期以来是农村居民主要生活燃料、大牲畜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草</w:t>
      </w:r>
      <w:r>
        <w:rPr>
          <w:rFonts w:hint="eastAsia" w:ascii="宋体" w:hAnsi="宋体" w:eastAsia="宋体" w:cs="宋体"/>
          <w:sz w:val="24"/>
          <w:szCs w:val="24"/>
        </w:rPr>
        <w:t>饲料和有机肥料。有实验数据表明，</w:t>
      </w:r>
      <w: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</w:rPr>
        <w:t>玉米秸秆</w:t>
      </w:r>
      <w: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  <w:lang w:eastAsia="zh-CN"/>
        </w:rPr>
        <w:t>、玉米芯</w:t>
      </w:r>
      <w: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</w:rPr>
        <w:t>增重净能相当于的玉米籽粒，</w:t>
      </w:r>
      <w: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  <w:lang w:val="en-US" w:eastAsia="zh-CN"/>
        </w:rPr>
        <w:t>2020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霍城县种植玉米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28.6</w:t>
      </w:r>
      <w:r>
        <w:rPr>
          <w:rFonts w:hint="eastAsia" w:ascii="宋体" w:hAnsi="宋体" w:eastAsia="宋体" w:cs="宋体"/>
          <w:sz w:val="24"/>
          <w:szCs w:val="24"/>
        </w:rPr>
        <w:t>万亩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、甜叶菊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2.52万亩</w:t>
      </w:r>
      <w:r>
        <w:rPr>
          <w:rFonts w:hint="eastAsia" w:ascii="宋体" w:hAnsi="宋体" w:eastAsia="宋体" w:cs="宋体"/>
          <w:sz w:val="24"/>
          <w:szCs w:val="24"/>
        </w:rPr>
        <w:t>，约能产生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甜叶菊秸秆、</w:t>
      </w:r>
      <w:r>
        <w:rPr>
          <w:rFonts w:hint="eastAsia" w:ascii="宋体" w:hAnsi="宋体" w:eastAsia="宋体" w:cs="宋体"/>
          <w:sz w:val="24"/>
          <w:szCs w:val="24"/>
        </w:rPr>
        <w:t>玉米秸秆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、玉米芯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29.9</w:t>
      </w:r>
      <w:r>
        <w:rPr>
          <w:rFonts w:hint="eastAsia" w:ascii="宋体" w:hAnsi="宋体" w:eastAsia="宋体" w:cs="宋体"/>
          <w:sz w:val="24"/>
          <w:szCs w:val="24"/>
        </w:rPr>
        <w:t>万吨，若能充分利用饲喂牲畜，年可节约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4.5</w:t>
      </w:r>
      <w:r>
        <w:rPr>
          <w:rFonts w:hint="eastAsia" w:ascii="宋体" w:hAnsi="宋体" w:eastAsia="宋体" w:cs="宋体"/>
          <w:sz w:val="24"/>
          <w:szCs w:val="24"/>
        </w:rPr>
        <w:t>万吨玉米籽粒。</w:t>
      </w:r>
      <w: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</w:rPr>
        <w:t>研究分析，</w:t>
      </w:r>
      <w: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  <w:lang w:eastAsia="zh-CN"/>
        </w:rPr>
        <w:t>甜叶菊秸秆、</w:t>
      </w:r>
      <w: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</w:rPr>
        <w:t>玉米秸秆</w:t>
      </w:r>
      <w: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  <w:lang w:eastAsia="zh-CN"/>
        </w:rPr>
        <w:t>、玉米芯</w:t>
      </w:r>
      <w: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</w:rPr>
        <w:t>中所含的消化能</w:t>
      </w:r>
      <w: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  <w:lang w:eastAsia="zh-CN"/>
        </w:rPr>
        <w:t>量高</w:t>
      </w:r>
      <w: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</w:rPr>
        <w:t>,且营养丰富，总能量与牧草相当。对</w:t>
      </w:r>
      <w: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  <w:lang w:eastAsia="zh-CN"/>
        </w:rPr>
        <w:t>甜叶菊秸秆、</w:t>
      </w:r>
      <w: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</w:rPr>
        <w:t>玉米秸秆</w:t>
      </w:r>
      <w: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  <w:lang w:eastAsia="zh-CN"/>
        </w:rPr>
        <w:t>、玉米芯</w:t>
      </w:r>
      <w: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</w:rPr>
        <w:t>进行精细加工处理，制作成高营养牲畜饲料，不仅有利于发展畜牧业，</w:t>
      </w:r>
      <w: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  <w:lang w:val="en-US" w:eastAsia="zh-CN"/>
        </w:rPr>
        <w:t>降低牲畜养殖成本，避免人畜争粮，保障我国粮食安全；</w:t>
      </w:r>
      <w: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</w:rPr>
        <w:t>而且通过秸秆过腹还田，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t>还可改善土壤结构，促进粮食增产增收，</w:t>
      </w:r>
      <w: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</w:rPr>
        <w:t>更是具有良好的生态效益和经济效益。</w:t>
      </w:r>
    </w:p>
    <w:p>
      <w:pPr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、制定本标准的意义</w:t>
      </w:r>
    </w:p>
    <w:p>
      <w:pPr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本标准的制定是为了规范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甜叶菊秸秆、</w:t>
      </w:r>
      <w:r>
        <w:rPr>
          <w:rFonts w:hint="eastAsia" w:ascii="宋体" w:hAnsi="宋体" w:eastAsia="宋体" w:cs="宋体"/>
          <w:sz w:val="24"/>
          <w:szCs w:val="24"/>
        </w:rPr>
        <w:t>玉米秸秆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、玉米芯</w:t>
      </w:r>
      <w:r>
        <w:rPr>
          <w:rFonts w:hint="eastAsia" w:ascii="宋体" w:hAnsi="宋体" w:eastAsia="宋体" w:cs="宋体"/>
          <w:sz w:val="24"/>
          <w:szCs w:val="24"/>
        </w:rPr>
        <w:t>压块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颗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粒）</w:t>
      </w:r>
      <w:r>
        <w:rPr>
          <w:rFonts w:hint="eastAsia" w:ascii="宋体" w:hAnsi="宋体" w:eastAsia="宋体" w:cs="宋体"/>
          <w:sz w:val="24"/>
          <w:szCs w:val="24"/>
        </w:rPr>
        <w:t>饲料的制作方法，在调制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甜叶菊秸秆、</w:t>
      </w:r>
      <w:r>
        <w:rPr>
          <w:rFonts w:hint="eastAsia" w:ascii="宋体" w:hAnsi="宋体" w:eastAsia="宋体" w:cs="宋体"/>
          <w:sz w:val="24"/>
          <w:szCs w:val="24"/>
        </w:rPr>
        <w:t>玉米秸秆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、玉米芯压块（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颗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粒）饲料</w:t>
      </w:r>
      <w:r>
        <w:rPr>
          <w:rFonts w:hint="eastAsia" w:ascii="宋体" w:hAnsi="宋体" w:eastAsia="宋体" w:cs="宋体"/>
          <w:sz w:val="24"/>
          <w:szCs w:val="24"/>
        </w:rPr>
        <w:t>时通过规范化、标准化操作，尽可能的保持和利用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甜叶菊秸秆、</w:t>
      </w:r>
      <w:r>
        <w:rPr>
          <w:rFonts w:hint="eastAsia" w:ascii="宋体" w:hAnsi="宋体" w:eastAsia="宋体" w:cs="宋体"/>
          <w:sz w:val="24"/>
          <w:szCs w:val="24"/>
        </w:rPr>
        <w:t>玉米秸秆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、玉米芯</w:t>
      </w:r>
      <w:r>
        <w:rPr>
          <w:rFonts w:hint="eastAsia" w:ascii="宋体" w:hAnsi="宋体" w:eastAsia="宋体" w:cs="宋体"/>
          <w:sz w:val="24"/>
          <w:szCs w:val="24"/>
        </w:rPr>
        <w:t>中的营养成分，提高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甜叶菊秸秆、</w:t>
      </w:r>
      <w:r>
        <w:rPr>
          <w:rFonts w:hint="eastAsia" w:ascii="宋体" w:hAnsi="宋体" w:eastAsia="宋体" w:cs="宋体"/>
          <w:sz w:val="24"/>
          <w:szCs w:val="24"/>
        </w:rPr>
        <w:t>玉米秸秆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、玉米芯</w:t>
      </w:r>
      <w:r>
        <w:rPr>
          <w:rFonts w:hint="eastAsia" w:ascii="宋体" w:hAnsi="宋体" w:eastAsia="宋体" w:cs="宋体"/>
          <w:sz w:val="24"/>
          <w:szCs w:val="24"/>
        </w:rPr>
        <w:t>压块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（颗粒）</w:t>
      </w:r>
      <w:r>
        <w:rPr>
          <w:rFonts w:hint="eastAsia" w:ascii="宋体" w:hAnsi="宋体" w:eastAsia="宋体" w:cs="宋体"/>
          <w:sz w:val="24"/>
          <w:szCs w:val="24"/>
        </w:rPr>
        <w:t>饲料的质量，改善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甜叶菊秸秆、</w:t>
      </w:r>
      <w:r>
        <w:rPr>
          <w:rFonts w:hint="eastAsia" w:ascii="宋体" w:hAnsi="宋体" w:eastAsia="宋体" w:cs="宋体"/>
          <w:sz w:val="24"/>
          <w:szCs w:val="24"/>
        </w:rPr>
        <w:t>玉米秸秆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、玉米芯</w:t>
      </w:r>
      <w:r>
        <w:rPr>
          <w:rFonts w:hint="eastAsia" w:ascii="宋体" w:hAnsi="宋体" w:eastAsia="宋体" w:cs="宋体"/>
          <w:sz w:val="24"/>
          <w:szCs w:val="24"/>
        </w:rPr>
        <w:t>的适口性，将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甜叶菊秸秆、</w:t>
      </w:r>
      <w:r>
        <w:rPr>
          <w:rFonts w:hint="eastAsia" w:ascii="宋体" w:hAnsi="宋体" w:eastAsia="宋体" w:cs="宋体"/>
          <w:sz w:val="24"/>
          <w:szCs w:val="24"/>
        </w:rPr>
        <w:t>玉米秸秆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、玉米芯</w:t>
      </w:r>
      <w:r>
        <w:rPr>
          <w:rFonts w:hint="eastAsia" w:ascii="宋体" w:hAnsi="宋体" w:eastAsia="宋体" w:cs="宋体"/>
          <w:sz w:val="24"/>
          <w:szCs w:val="24"/>
        </w:rPr>
        <w:t>制成牛羊喜食的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压块、</w:t>
      </w:r>
      <w:r>
        <w:rPr>
          <w:rFonts w:hint="eastAsia" w:ascii="宋体" w:hAnsi="宋体" w:eastAsia="宋体" w:cs="宋体"/>
          <w:sz w:val="24"/>
          <w:szCs w:val="24"/>
        </w:rPr>
        <w:t>颗粒饲料，进而推动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甜叶菊秸秆、</w:t>
      </w:r>
      <w:r>
        <w:rPr>
          <w:rFonts w:hint="eastAsia" w:ascii="宋体" w:hAnsi="宋体" w:eastAsia="宋体" w:cs="宋体"/>
          <w:sz w:val="24"/>
          <w:szCs w:val="24"/>
        </w:rPr>
        <w:t>玉米秸秆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、玉米芯</w:t>
      </w:r>
      <w:r>
        <w:rPr>
          <w:rFonts w:hint="eastAsia" w:ascii="宋体" w:hAnsi="宋体" w:eastAsia="宋体" w:cs="宋体"/>
          <w:sz w:val="24"/>
          <w:szCs w:val="24"/>
        </w:rPr>
        <w:t>饲料化利用，变废为宝，同时减少因焚烧秸秆而带来的环境污染压力。</w:t>
      </w:r>
    </w:p>
    <w:p>
      <w:pPr>
        <w:spacing w:line="500" w:lineRule="exact"/>
        <w:ind w:firstLine="588" w:firstLineChars="245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snapToGrid w:val="0"/>
        <w:spacing w:line="360" w:lineRule="auto"/>
        <w:ind w:firstLine="551" w:firstLineChars="196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二、任务来源及编制原则和依据</w:t>
      </w:r>
    </w:p>
    <w:p>
      <w:pPr>
        <w:snapToGrid w:val="0"/>
        <w:spacing w:line="360" w:lineRule="auto"/>
        <w:ind w:firstLine="470" w:firstLineChars="19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伊犁州农业农村</w:t>
      </w:r>
      <w:r>
        <w:rPr>
          <w:rFonts w:hint="eastAsia" w:ascii="宋体" w:hAnsi="宋体" w:eastAsia="宋体" w:cs="宋体"/>
          <w:sz w:val="24"/>
          <w:szCs w:val="24"/>
        </w:rPr>
        <w:t>局下达了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编制</w:t>
      </w:r>
      <w:r>
        <w:rPr>
          <w:rFonts w:hint="eastAsia" w:ascii="宋体" w:hAnsi="宋体" w:eastAsia="宋体" w:cs="宋体"/>
          <w:sz w:val="24"/>
          <w:szCs w:val="24"/>
        </w:rPr>
        <w:t>《玉米秸秆压块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颗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粒）</w:t>
      </w:r>
      <w:r>
        <w:rPr>
          <w:rFonts w:hint="eastAsia" w:ascii="宋体" w:hAnsi="宋体" w:eastAsia="宋体" w:cs="宋体"/>
          <w:sz w:val="24"/>
          <w:szCs w:val="24"/>
        </w:rPr>
        <w:t>饲料操作技术规程》是地方标准的制定任务。标准性质为推荐性地方标准，由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伊犁州农业农村</w:t>
      </w:r>
      <w:r>
        <w:rPr>
          <w:rFonts w:hint="eastAsia" w:ascii="宋体" w:hAnsi="宋体" w:eastAsia="宋体" w:cs="宋体"/>
          <w:sz w:val="24"/>
          <w:szCs w:val="24"/>
        </w:rPr>
        <w:t>局提出，起草单位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伊宁县鼎然农牧科技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有限公司、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伊犁州产品质量监督检验所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snapToGrid w:val="0"/>
        <w:spacing w:line="360" w:lineRule="auto"/>
        <w:ind w:firstLine="470" w:firstLineChars="19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本标准按照给出的规则起草。</w:t>
      </w:r>
    </w:p>
    <w:p>
      <w:pPr>
        <w:snapToGrid w:val="0"/>
        <w:spacing w:line="360" w:lineRule="auto"/>
        <w:ind w:firstLine="472" w:firstLineChars="19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本标准制定的基本原则是</w:t>
      </w:r>
      <w:r>
        <w:rPr>
          <w:rFonts w:hint="eastAsia" w:ascii="宋体" w:hAnsi="宋体" w:eastAsia="宋体" w:cs="宋体"/>
          <w:sz w:val="24"/>
          <w:szCs w:val="24"/>
        </w:rPr>
        <w:t>：遵守国家有关法律法规，认真贯彻《畜牧法》、《饲料和饲料添加剂管理条例》规定，科学合理制定技术规范，促进玉米秸秆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、玉米芯</w:t>
      </w:r>
      <w:r>
        <w:rPr>
          <w:rFonts w:hint="eastAsia" w:ascii="宋体" w:hAnsi="宋体" w:eastAsia="宋体" w:cs="宋体"/>
          <w:sz w:val="24"/>
          <w:szCs w:val="24"/>
        </w:rPr>
        <w:t>压块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（颗粒）</w:t>
      </w:r>
      <w:r>
        <w:rPr>
          <w:rFonts w:hint="eastAsia" w:ascii="宋体" w:hAnsi="宋体" w:eastAsia="宋体" w:cs="宋体"/>
          <w:sz w:val="24"/>
          <w:szCs w:val="24"/>
        </w:rPr>
        <w:t>饲料制作的规范化、标准化。</w:t>
      </w:r>
    </w:p>
    <w:p>
      <w:pPr>
        <w:spacing w:line="590" w:lineRule="exact"/>
        <w:ind w:firstLine="482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制定本标准参考的主要标准有：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《畜牧机械 粗饲料压块机》、《颗粒饲料通用技术条件》、《秸秆颗粒饲料压制机质量评价技术规范》</w:t>
      </w:r>
      <w:r>
        <w:rPr>
          <w:rFonts w:hint="eastAsia" w:ascii="宋体" w:hAnsi="宋体" w:eastAsia="宋体" w:cs="宋体"/>
          <w:sz w:val="24"/>
          <w:szCs w:val="24"/>
        </w:rPr>
        <w:t>、《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秸秆饲料揉碎质量</w:t>
      </w:r>
      <w:r>
        <w:rPr>
          <w:rFonts w:hint="eastAsia" w:ascii="宋体" w:hAnsi="宋体" w:eastAsia="宋体" w:cs="宋体"/>
          <w:sz w:val="24"/>
          <w:szCs w:val="24"/>
        </w:rPr>
        <w:t>》等标准。</w:t>
      </w:r>
    </w:p>
    <w:p>
      <w:pPr>
        <w:snapToGrid w:val="0"/>
        <w:spacing w:line="360" w:lineRule="auto"/>
        <w:ind w:firstLine="551" w:firstLineChars="196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三、编制过程</w:t>
      </w:r>
    </w:p>
    <w:p>
      <w:pPr>
        <w:spacing w:line="59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为确保起草任务的顺利完成，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2020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>月，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伊犁州霍城县农业农村局</w:t>
      </w:r>
      <w:r>
        <w:rPr>
          <w:rFonts w:hint="eastAsia" w:ascii="宋体" w:hAnsi="宋体" w:eastAsia="宋体" w:cs="宋体"/>
          <w:sz w:val="24"/>
          <w:szCs w:val="24"/>
        </w:rPr>
        <w:t>成立地方标准起草工作组，具体负责标准的起草工作。在标准的编制过程中，起草工作组首先搜集了有关资料和相关标准，分别深入到我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县</w:t>
      </w:r>
      <w:r>
        <w:rPr>
          <w:rFonts w:hint="eastAsia" w:ascii="宋体" w:hAnsi="宋体" w:eastAsia="宋体" w:cs="宋体"/>
          <w:sz w:val="24"/>
          <w:szCs w:val="24"/>
        </w:rPr>
        <w:t>秸秆加工企业实地调查走访，在搜集、汇总、整理的基础上，对《玉米秸秆压块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颗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粒）</w:t>
      </w:r>
      <w:r>
        <w:rPr>
          <w:rFonts w:hint="eastAsia" w:ascii="宋体" w:hAnsi="宋体" w:eastAsia="宋体" w:cs="宋体"/>
          <w:sz w:val="24"/>
          <w:szCs w:val="24"/>
        </w:rPr>
        <w:t>饲料操作技术规程》进行了制定，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2020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sz w:val="24"/>
          <w:szCs w:val="24"/>
        </w:rPr>
        <w:t>月《玉米秸秆压块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颗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粒）</w:t>
      </w:r>
      <w:r>
        <w:rPr>
          <w:rFonts w:hint="eastAsia" w:ascii="宋体" w:hAnsi="宋体" w:eastAsia="宋体" w:cs="宋体"/>
          <w:sz w:val="24"/>
          <w:szCs w:val="24"/>
        </w:rPr>
        <w:t>饲料操作技术规程》完成草案稿。为确保标准的科学性，起草工作组组织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州</w:t>
      </w:r>
      <w:r>
        <w:rPr>
          <w:rFonts w:hint="eastAsia" w:ascii="宋体" w:hAnsi="宋体" w:eastAsia="宋体" w:cs="宋体"/>
          <w:sz w:val="24"/>
          <w:szCs w:val="24"/>
        </w:rPr>
        <w:t>、县饲草饲料专业技术人员对草案稿进行了座谈、讨论和修改，形成了征求意见稿。</w:t>
      </w:r>
    </w:p>
    <w:p>
      <w:pPr>
        <w:snapToGrid w:val="0"/>
        <w:spacing w:line="360" w:lineRule="auto"/>
        <w:ind w:firstLine="551" w:firstLineChars="196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四、主要内容的确定</w:t>
      </w:r>
    </w:p>
    <w:p>
      <w:pPr>
        <w:spacing w:line="59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、标准名称</w:t>
      </w:r>
    </w:p>
    <w:p>
      <w:pPr>
        <w:spacing w:line="59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本标准以“玉米秸秆压块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颗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粒）</w:t>
      </w:r>
      <w:r>
        <w:rPr>
          <w:rFonts w:hint="eastAsia" w:ascii="宋体" w:hAnsi="宋体" w:eastAsia="宋体" w:cs="宋体"/>
          <w:sz w:val="24"/>
          <w:szCs w:val="24"/>
        </w:rPr>
        <w:t>饲料操作技术规程”作为标准的名称，是依据生产中实际需要而确定的。</w:t>
      </w:r>
    </w:p>
    <w:p>
      <w:pPr>
        <w:spacing w:line="59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、范围</w:t>
      </w:r>
    </w:p>
    <w:p>
      <w:pPr>
        <w:spacing w:line="59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本标准范围的界定主要是为了提高玉米秸秆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、玉米芯</w:t>
      </w:r>
      <w:r>
        <w:rPr>
          <w:rFonts w:hint="eastAsia" w:ascii="宋体" w:hAnsi="宋体" w:eastAsia="宋体" w:cs="宋体"/>
          <w:sz w:val="24"/>
          <w:szCs w:val="24"/>
        </w:rPr>
        <w:t>压块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（颗粒）</w:t>
      </w:r>
      <w:r>
        <w:rPr>
          <w:rFonts w:hint="eastAsia" w:ascii="宋体" w:hAnsi="宋体" w:eastAsia="宋体" w:cs="宋体"/>
          <w:sz w:val="24"/>
          <w:szCs w:val="24"/>
        </w:rPr>
        <w:t>饲料的综合生产水平、技术水平和规范化水平。</w:t>
      </w:r>
    </w:p>
    <w:p>
      <w:pPr>
        <w:snapToGrid w:val="0"/>
        <w:spacing w:line="360" w:lineRule="auto"/>
        <w:ind w:firstLine="470" w:firstLineChars="196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kern w:val="0"/>
          <w:sz w:val="24"/>
          <w:szCs w:val="24"/>
        </w:rPr>
        <w:t>、基本定义与俗语</w:t>
      </w:r>
    </w:p>
    <w:p>
      <w:pPr>
        <w:snapToGrid w:val="0"/>
        <w:spacing w:line="360" w:lineRule="auto"/>
        <w:ind w:firstLine="470" w:firstLineChars="19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本标准依据行业有关资料文献，结合生产实际，对加工生产中有关原料</w:t>
      </w:r>
      <w:r>
        <w:rPr>
          <w:rFonts w:hint="eastAsia" w:ascii="宋体" w:hAnsi="宋体" w:eastAsia="宋体" w:cs="宋体"/>
          <w:sz w:val="24"/>
          <w:szCs w:val="24"/>
        </w:rPr>
        <w:t>进行了定义说明。</w:t>
      </w:r>
    </w:p>
    <w:p>
      <w:pPr>
        <w:snapToGrid w:val="0"/>
        <w:spacing w:line="360" w:lineRule="auto"/>
        <w:ind w:firstLine="470" w:firstLineChars="19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、生产技术</w:t>
      </w:r>
    </w:p>
    <w:p>
      <w:pPr>
        <w:snapToGrid w:val="0"/>
        <w:spacing w:line="360" w:lineRule="auto"/>
        <w:ind w:firstLine="470" w:firstLineChars="19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根据有关文献资料，结合玉米秸秆收获生产实际、实验数据等相关资料，针对玉米秸秆原料的收获、切碎、调制、压块成型等内容进行了阐述。</w:t>
      </w:r>
    </w:p>
    <w:p>
      <w:pPr>
        <w:snapToGrid w:val="0"/>
        <w:spacing w:line="360" w:lineRule="auto"/>
        <w:ind w:firstLine="470" w:firstLineChars="19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、性状指标</w:t>
      </w:r>
    </w:p>
    <w:p>
      <w:pPr>
        <w:snapToGrid w:val="0"/>
        <w:spacing w:line="360" w:lineRule="auto"/>
        <w:ind w:firstLine="470" w:firstLineChars="19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根据</w:t>
      </w:r>
      <w:r>
        <w:rPr>
          <w:rFonts w:hint="eastAsia" w:ascii="宋体" w:hAnsi="宋体" w:eastAsia="宋体" w:cs="宋体"/>
          <w:sz w:val="24"/>
          <w:szCs w:val="24"/>
        </w:rPr>
        <w:t>《饲料中粗蛋白测定方法》等，对玉米秸秆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、玉米芯</w:t>
      </w:r>
      <w:r>
        <w:rPr>
          <w:rFonts w:hint="eastAsia" w:ascii="宋体" w:hAnsi="宋体" w:eastAsia="宋体" w:cs="宋体"/>
          <w:sz w:val="24"/>
          <w:szCs w:val="24"/>
        </w:rPr>
        <w:t>压块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颗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粒）</w:t>
      </w:r>
      <w:r>
        <w:rPr>
          <w:rFonts w:hint="eastAsia" w:ascii="宋体" w:hAnsi="宋体" w:eastAsia="宋体" w:cs="宋体"/>
          <w:sz w:val="24"/>
          <w:szCs w:val="24"/>
        </w:rPr>
        <w:t>饲料有关物理性状、生化指标给出了相关参考标准。</w:t>
      </w:r>
    </w:p>
    <w:p>
      <w:pPr>
        <w:snapToGrid w:val="0"/>
        <w:spacing w:line="360" w:lineRule="auto"/>
        <w:ind w:firstLine="470" w:firstLineChars="19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、检验方法</w:t>
      </w:r>
    </w:p>
    <w:p>
      <w:pPr>
        <w:snapToGrid w:val="0"/>
        <w:spacing w:line="360" w:lineRule="auto"/>
        <w:ind w:firstLine="470" w:firstLineChars="19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参考《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饲料中黄曲霉毒素的测定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及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半定量薄层色谱法</w:t>
      </w:r>
      <w:r>
        <w:rPr>
          <w:rFonts w:hint="eastAsia" w:ascii="宋体" w:hAnsi="宋体" w:eastAsia="宋体" w:cs="宋体"/>
          <w:sz w:val="24"/>
          <w:szCs w:val="24"/>
        </w:rPr>
        <w:t>》、《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饲料中铅的测定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及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原子吸收光谱法</w:t>
      </w:r>
      <w:r>
        <w:rPr>
          <w:rFonts w:hint="eastAsia" w:ascii="宋体" w:hAnsi="宋体" w:eastAsia="宋体" w:cs="宋体"/>
          <w:sz w:val="24"/>
          <w:szCs w:val="24"/>
        </w:rPr>
        <w:t>》等相关饲料检测检验标准，对玉米秸秆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、玉米芯</w:t>
      </w:r>
      <w:r>
        <w:rPr>
          <w:rFonts w:hint="eastAsia" w:ascii="宋体" w:hAnsi="宋体" w:eastAsia="宋体" w:cs="宋体"/>
          <w:sz w:val="24"/>
          <w:szCs w:val="24"/>
        </w:rPr>
        <w:t>压块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颗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粒）</w:t>
      </w:r>
      <w:r>
        <w:rPr>
          <w:rFonts w:hint="eastAsia" w:ascii="宋体" w:hAnsi="宋体" w:eastAsia="宋体" w:cs="宋体"/>
          <w:sz w:val="24"/>
          <w:szCs w:val="24"/>
        </w:rPr>
        <w:t>饲料的卫生质量等提出了要求。</w:t>
      </w:r>
    </w:p>
    <w:p>
      <w:pPr>
        <w:snapToGrid w:val="0"/>
        <w:spacing w:line="360" w:lineRule="auto"/>
        <w:ind w:firstLine="470" w:firstLineChars="19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>、检验规则</w:t>
      </w:r>
    </w:p>
    <w:p>
      <w:pPr>
        <w:snapToGrid w:val="0"/>
        <w:spacing w:line="360" w:lineRule="auto"/>
        <w:ind w:firstLine="470" w:firstLineChars="19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参考《饲料采样》等相关标准，对玉米秸秆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、玉米芯</w:t>
      </w:r>
      <w:r>
        <w:rPr>
          <w:rFonts w:hint="eastAsia" w:ascii="宋体" w:hAnsi="宋体" w:eastAsia="宋体" w:cs="宋体"/>
          <w:sz w:val="24"/>
          <w:szCs w:val="24"/>
        </w:rPr>
        <w:t>压块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颗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粒）</w:t>
      </w:r>
      <w:r>
        <w:rPr>
          <w:rFonts w:hint="eastAsia" w:ascii="宋体" w:hAnsi="宋体" w:eastAsia="宋体" w:cs="宋体"/>
          <w:sz w:val="24"/>
          <w:szCs w:val="24"/>
        </w:rPr>
        <w:t>饲料的检验项目、检验方式、结果判定等提出了相关要求。</w:t>
      </w:r>
    </w:p>
    <w:p>
      <w:pPr>
        <w:snapToGrid w:val="0"/>
        <w:spacing w:line="360" w:lineRule="auto"/>
        <w:ind w:firstLine="470" w:firstLineChars="19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、标签、包装、运输和贮存</w:t>
      </w:r>
    </w:p>
    <w:p>
      <w:pPr>
        <w:snapToGrid w:val="0"/>
        <w:spacing w:line="360" w:lineRule="auto"/>
        <w:ind w:firstLine="470" w:firstLineChars="19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根据《饲料标签》等相关资料，对玉米秸秆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、玉米芯</w:t>
      </w:r>
      <w:r>
        <w:rPr>
          <w:rFonts w:hint="eastAsia" w:ascii="宋体" w:hAnsi="宋体" w:eastAsia="宋体" w:cs="宋体"/>
          <w:sz w:val="24"/>
          <w:szCs w:val="24"/>
        </w:rPr>
        <w:t>压块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颗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粒）</w:t>
      </w:r>
      <w:r>
        <w:rPr>
          <w:rFonts w:hint="eastAsia" w:ascii="宋体" w:hAnsi="宋体" w:eastAsia="宋体" w:cs="宋体"/>
          <w:sz w:val="24"/>
          <w:szCs w:val="24"/>
        </w:rPr>
        <w:t>饲料的包装、运输、储存提出了有关要求。</w:t>
      </w:r>
      <w:bookmarkStart w:id="0" w:name="_GoBack"/>
      <w:bookmarkEnd w:id="0"/>
    </w:p>
    <w:p>
      <w:pPr>
        <w:snapToGrid w:val="0"/>
        <w:spacing w:line="360" w:lineRule="auto"/>
        <w:ind w:firstLine="551" w:firstLineChars="196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五、与国家法律法规和强制性标准的关系</w:t>
      </w:r>
    </w:p>
    <w:p>
      <w:pPr>
        <w:snapToGrid w:val="0"/>
        <w:spacing w:line="360" w:lineRule="auto"/>
        <w:ind w:firstLine="470" w:firstLineChars="196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本标准制定的原则遵循国家有关产业政策，符合国家的有关法律法规。</w:t>
      </w:r>
    </w:p>
    <w:p>
      <w:pPr>
        <w:snapToGrid w:val="0"/>
        <w:spacing w:line="360" w:lineRule="auto"/>
        <w:ind w:firstLine="551" w:firstLineChars="196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六、标准实施的建议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《玉米秸秆压块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颗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粒）</w:t>
      </w:r>
      <w:r>
        <w:rPr>
          <w:rFonts w:hint="eastAsia" w:ascii="宋体" w:hAnsi="宋体" w:eastAsia="宋体" w:cs="宋体"/>
          <w:sz w:val="24"/>
          <w:szCs w:val="24"/>
        </w:rPr>
        <w:t>饲料操作技术规程》是依据国家生产相关规定，按国家标准化要求，在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伊犁州农业农村局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霍城县农业农村局、新源县农业农村局、伊宁县鼎然农牧科技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有限公司</w:t>
      </w:r>
      <w:r>
        <w:rPr>
          <w:rFonts w:hint="eastAsia" w:ascii="宋体" w:hAnsi="宋体" w:eastAsia="宋体" w:cs="宋体"/>
          <w:sz w:val="24"/>
          <w:szCs w:val="24"/>
        </w:rPr>
        <w:t>的推广研究和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相</w:t>
      </w:r>
      <w:r>
        <w:rPr>
          <w:rFonts w:hint="eastAsia" w:ascii="宋体" w:hAnsi="宋体" w:eastAsia="宋体" w:cs="宋体"/>
          <w:sz w:val="24"/>
          <w:szCs w:val="24"/>
        </w:rPr>
        <w:t>关饲草饲料生产企业生产实际经验的基础上，参考相关文献资料编写而成。由于目前生产者的标准化意识有待进一步提高，故建议标准发布实施后加强宣传、开展相关培训工作。在实施过程中，本标准仍需根据实际情况及时加以修订或更新，以适应新技术和生产发展的需要。</w:t>
      </w:r>
    </w:p>
    <w:p>
      <w:pPr>
        <w:ind w:right="742"/>
        <w:rPr>
          <w:rFonts w:hint="eastAsia" w:ascii="宋体" w:hAnsi="宋体" w:eastAsia="宋体" w:cs="宋体"/>
          <w:sz w:val="24"/>
          <w:szCs w:val="24"/>
        </w:rPr>
      </w:pPr>
    </w:p>
    <w:p>
      <w:pPr>
        <w:ind w:right="742"/>
        <w:rPr>
          <w:rFonts w:hint="eastAsia" w:ascii="宋体" w:hAnsi="宋体" w:eastAsia="宋体" w:cs="宋体"/>
          <w:sz w:val="24"/>
          <w:szCs w:val="24"/>
        </w:rPr>
      </w:pPr>
    </w:p>
    <w:p>
      <w:pPr>
        <w:ind w:right="742"/>
        <w:rPr>
          <w:rFonts w:hint="eastAsia" w:ascii="宋体" w:hAnsi="宋体" w:eastAsia="宋体" w:cs="宋体"/>
          <w:sz w:val="24"/>
          <w:szCs w:val="24"/>
        </w:rPr>
      </w:pPr>
    </w:p>
    <w:p>
      <w:pPr>
        <w:ind w:right="74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《玉米秸秆压块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颗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粒）</w:t>
      </w:r>
      <w:r>
        <w:rPr>
          <w:rFonts w:hint="eastAsia" w:ascii="宋体" w:hAnsi="宋体" w:eastAsia="宋体" w:cs="宋体"/>
          <w:sz w:val="24"/>
          <w:szCs w:val="24"/>
        </w:rPr>
        <w:t>饲料操作技术规程》地方标准起草组</w:t>
      </w:r>
    </w:p>
    <w:p>
      <w:pPr>
        <w:spacing w:line="59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</w:t>
      </w:r>
    </w:p>
    <w:p>
      <w:pPr>
        <w:spacing w:line="590" w:lineRule="exact"/>
        <w:ind w:firstLine="4080" w:firstLineChars="17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2020</w:t>
      </w:r>
      <w:r>
        <w:rPr>
          <w:rFonts w:hint="eastAsia" w:ascii="宋体" w:hAnsi="宋体" w:eastAsia="宋体" w:cs="宋体"/>
          <w:sz w:val="24"/>
          <w:szCs w:val="24"/>
        </w:rPr>
        <w:t xml:space="preserve"> 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sz w:val="24"/>
          <w:szCs w:val="24"/>
        </w:rPr>
        <w:t>月</w:t>
      </w:r>
    </w:p>
    <w:p>
      <w:pPr>
        <w:spacing w:line="240" w:lineRule="auto"/>
        <w:ind w:firstLine="420"/>
        <w:rPr>
          <w:rFonts w:ascii="宋体" w:hAnsi="宋体" w:eastAsia="宋体" w:cs="宋体"/>
          <w:sz w:val="21"/>
          <w:szCs w:val="21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2098" w:right="1134" w:bottom="1984" w:left="1134" w:header="851" w:footer="850" w:gutter="283"/>
      <w:pgNumType w:fmt="numberInDash" w:start="1"/>
      <w:cols w:space="0" w:num="1"/>
      <w:docGrid w:type="lines" w:linePitch="43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  <w:r>
      <w:pict>
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FgAAAGRycy9QSwECFAAUAAAACACHTuJAs0lY&#10;7tAAAAAFAQAADwAAAAAAAAABACAAAAA4AAAAZHJzL2Rvd25yZXYueG1sUEsBAhQAFAAAAAgAh07i&#10;QMDe54oUAgAAEwQAAA4AAAAAAAAAAQAgAAAANQEAAGRycy9lMm9Eb2MueG1sUEsFBgAAAAAGAAYA&#10;WQEAALs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11"/>
                  <w:adjustRightInd/>
                  <w:ind w:firstLine="0" w:firstLineChars="0"/>
                  <w:rPr>
                    <w:rFonts w:asciiTheme="minorEastAsia" w:hAnsiTheme="minorEastAsia" w:eastAsiaTheme="minorEastAsia" w:cstheme="minorEastAsia"/>
                    <w:sz w:val="28"/>
                    <w:szCs w:val="28"/>
                  </w:rPr>
                </w:pP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separate"/>
                </w:r>
                <w:r>
                  <w:rPr>
                    <w:rFonts w:asciiTheme="minorEastAsia" w:hAnsiTheme="minorEastAsia" w:eastAsiaTheme="minorEastAsia" w:cstheme="minorEastAsia"/>
                    <w:sz w:val="28"/>
                    <w:szCs w:val="28"/>
                  </w:rPr>
                  <w:t>- 1 -</w: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none" w:color="auto" w:sz="0" w:space="1"/>
      </w:pBdr>
      <w:ind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769E11"/>
    <w:multiLevelType w:val="multilevel"/>
    <w:tmpl w:val="92769E11"/>
    <w:lvl w:ilvl="0" w:tentative="0">
      <w:start w:val="1"/>
      <w:numFmt w:val="decimal"/>
      <w:pStyle w:val="4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(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 w:tentative="0">
      <w:start w:val="1"/>
      <w:numFmt w:val="decimalEnclosedCircleChinese"/>
      <w:lvlText w:val="%3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 w:tentative="0">
      <w:start w:val="1"/>
      <w:numFmt w:val="decimal"/>
      <w:lvlText w:val="%4)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 w:tentative="0">
      <w:start w:val="1"/>
      <w:numFmt w:val="lowerLetter"/>
      <w:lvlText w:val="%6)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 w:tentative="0">
      <w:start w:val="1"/>
      <w:numFmt w:val="lowerRoman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 w:tentative="0">
      <w:start w:val="1"/>
      <w:numFmt w:val="lowerRoman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 w:tentative="0">
      <w:start w:val="1"/>
      <w:numFmt w:val="lowerLetter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abstractNum w:abstractNumId="1">
    <w:nsid w:val="95521FC0"/>
    <w:multiLevelType w:val="multilevel"/>
    <w:tmpl w:val="95521FC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eastAsia" w:ascii="宋体" w:hAnsi="宋体" w:eastAsia="宋体" w:cs="宋体"/>
      </w:rPr>
    </w:lvl>
    <w:lvl w:ilvl="1" w:tentative="0">
      <w:start w:val="1"/>
      <w:numFmt w:val="chineseCounting"/>
      <w:lvlText w:val="%2."/>
      <w:lvlJc w:val="left"/>
      <w:pPr>
        <w:ind w:left="567" w:hanging="567"/>
      </w:pPr>
      <w:rPr>
        <w:rFonts w:hint="eastAsia" w:ascii="宋体" w:hAnsi="宋体" w:eastAsia="宋体" w:cs="宋体"/>
      </w:rPr>
    </w:lvl>
    <w:lvl w:ilvl="2" w:tentative="0">
      <w:start w:val="1"/>
      <w:numFmt w:val="decimal"/>
      <w:lvlText w:val="%3."/>
      <w:lvlJc w:val="left"/>
      <w:pPr>
        <w:ind w:left="709" w:hanging="709"/>
      </w:pPr>
      <w:rPr>
        <w:rFonts w:hint="eastAsia" w:ascii="宋体" w:hAnsi="宋体" w:eastAsia="宋体" w:cs="宋体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eastAsia" w:ascii="宋体" w:hAnsi="宋体" w:eastAsia="宋体" w:cs="宋体"/>
      </w:rPr>
    </w:lvl>
    <w:lvl w:ilvl="4" w:tentative="0">
      <w:start w:val="1"/>
      <w:numFmt w:val="decimal"/>
      <w:pStyle w:val="6"/>
      <w:lvlText w:val="%1.%2.%3.%4.%5."/>
      <w:lvlJc w:val="left"/>
      <w:pPr>
        <w:ind w:left="991" w:hanging="991"/>
      </w:pPr>
      <w:rPr>
        <w:rFonts w:hint="eastAsia" w:ascii="宋体" w:hAnsi="宋体" w:eastAsia="宋体" w:cs="宋体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eastAsia" w:ascii="宋体" w:hAnsi="宋体" w:eastAsia="宋体" w:cs="宋体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eastAsia"/>
      </w:rPr>
    </w:lvl>
  </w:abstractNum>
  <w:abstractNum w:abstractNumId="2">
    <w:nsid w:val="F35E66F0"/>
    <w:multiLevelType w:val="multilevel"/>
    <w:tmpl w:val="F35E66F0"/>
    <w:lvl w:ilvl="0" w:tentative="0">
      <w:start w:val="1"/>
      <w:numFmt w:val="decimal"/>
      <w:pStyle w:val="19"/>
      <w:suff w:val="space"/>
      <w:lvlText w:val="%1."/>
      <w:lvlJc w:val="left"/>
      <w:pPr>
        <w:tabs>
          <w:tab w:val="left" w:pos="0"/>
        </w:tabs>
        <w:ind w:left="0" w:firstLine="0"/>
      </w:pPr>
      <w:rPr>
        <w:rFonts w:hint="default" w:ascii="宋体" w:hAnsi="宋体" w:eastAsia="宋体" w:cs="宋体"/>
        <w:sz w:val="21"/>
      </w:rPr>
    </w:lvl>
    <w:lvl w:ilvl="1" w:tentative="0">
      <w:start w:val="1"/>
      <w:numFmt w:val="decimal"/>
      <w:suff w:val="space"/>
      <w:lvlText w:val="%1.%2."/>
      <w:lvlJc w:val="left"/>
      <w:pPr>
        <w:tabs>
          <w:tab w:val="left" w:pos="420"/>
        </w:tabs>
        <w:ind w:left="567" w:firstLine="0"/>
      </w:pPr>
      <w:rPr>
        <w:rFonts w:hint="default" w:ascii="宋体" w:hAnsi="宋体" w:eastAsia="宋体" w:cs="宋体"/>
        <w:b/>
      </w:rPr>
    </w:lvl>
    <w:lvl w:ilvl="2" w:tentative="0">
      <w:start w:val="1"/>
      <w:numFmt w:val="decimal"/>
      <w:suff w:val="space"/>
      <w:lvlText w:val="%1.%2.%3."/>
      <w:lvlJc w:val="left"/>
      <w:pPr>
        <w:tabs>
          <w:tab w:val="left" w:pos="0"/>
        </w:tabs>
        <w:ind w:left="1134" w:firstLine="0"/>
      </w:pPr>
      <w:rPr>
        <w:rFonts w:hint="default" w:ascii="宋体" w:hAnsi="宋体" w:eastAsia="宋体" w:cs="宋体"/>
        <w:b/>
      </w:rPr>
    </w:lvl>
    <w:lvl w:ilvl="3" w:tentative="0">
      <w:start w:val="1"/>
      <w:numFmt w:val="decimal"/>
      <w:suff w:val="space"/>
      <w:lvlText w:val="%1.%2.%3.%4."/>
      <w:lvlJc w:val="left"/>
      <w:pPr>
        <w:tabs>
          <w:tab w:val="left" w:pos="0"/>
        </w:tabs>
        <w:ind w:left="1701" w:firstLine="0"/>
      </w:pPr>
      <w:rPr>
        <w:rFonts w:hint="default" w:ascii="宋体" w:hAnsi="宋体" w:eastAsia="宋体" w:cs="宋体"/>
      </w:rPr>
    </w:lvl>
    <w:lvl w:ilvl="4" w:tentative="0">
      <w:start w:val="1"/>
      <w:numFmt w:val="decimal"/>
      <w:lvlText w:val="%1.%2.%3.%4.%5."/>
      <w:lvlJc w:val="left"/>
      <w:pPr>
        <w:tabs>
          <w:tab w:val="left" w:pos="420"/>
        </w:tabs>
        <w:ind w:left="1008" w:hanging="1008"/>
      </w:pPr>
      <w:rPr>
        <w:rFonts w:hint="default" w:ascii="宋体" w:hAnsi="宋体" w:eastAsia="宋体" w:cs="宋体"/>
      </w:rPr>
    </w:lvl>
    <w:lvl w:ilvl="5" w:tentative="0">
      <w:start w:val="1"/>
      <w:numFmt w:val="decimal"/>
      <w:lvlText w:val="%1.%2.%3.%4.%5.%6."/>
      <w:lvlJc w:val="left"/>
      <w:pPr>
        <w:ind w:left="1151" w:hanging="1151"/>
      </w:pPr>
      <w:rPr>
        <w:rFonts w:hint="default" w:ascii="宋体" w:hAnsi="宋体" w:eastAsia="宋体" w:cs="宋体"/>
      </w:rPr>
    </w:lvl>
    <w:lvl w:ilvl="6" w:tentative="0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420"/>
        </w:tabs>
        <w:ind w:left="1583" w:hanging="1583"/>
      </w:pPr>
      <w:rPr>
        <w:rFonts w:hint="default" w:ascii="宋体" w:hAnsi="宋体" w:eastAsia="宋体" w:cs="宋体"/>
      </w:rPr>
    </w:lvl>
  </w:abstractNum>
  <w:abstractNum w:abstractNumId="3">
    <w:nsid w:val="44C50F90"/>
    <w:multiLevelType w:val="multilevel"/>
    <w:tmpl w:val="44C50F90"/>
    <w:lvl w:ilvl="0" w:tentative="0">
      <w:start w:val="1"/>
      <w:numFmt w:val="lowerLetter"/>
      <w:pStyle w:val="30"/>
      <w:lvlText w:val="%1)"/>
      <w:lvlJc w:val="left"/>
      <w:pPr>
        <w:tabs>
          <w:tab w:val="left" w:pos="851"/>
        </w:tabs>
        <w:ind w:left="851" w:hanging="426"/>
      </w:pPr>
      <w:rPr>
        <w:rFonts w:hint="eastAsia" w:ascii="宋体" w:hAnsi="Times New Roman" w:eastAsia="宋体"/>
        <w:sz w:val="21"/>
      </w:rPr>
    </w:lvl>
    <w:lvl w:ilvl="1" w:tentative="0">
      <w:start w:val="1"/>
      <w:numFmt w:val="decimal"/>
      <w:lvlText w:val="%2)"/>
      <w:lvlJc w:val="left"/>
      <w:pPr>
        <w:tabs>
          <w:tab w:val="left" w:pos="1276"/>
        </w:tabs>
        <w:ind w:left="1276" w:hanging="425"/>
      </w:pPr>
      <w:rPr>
        <w:rFonts w:hint="eastAsia" w:ascii="宋体" w:hAnsi="Times New Roman" w:eastAsia="宋体"/>
        <w:sz w:val="21"/>
      </w:rPr>
    </w:lvl>
    <w:lvl w:ilvl="2" w:tentative="0">
      <w:start w:val="1"/>
      <w:numFmt w:val="decimal"/>
      <w:lvlText w:val="(%3)"/>
      <w:lvlJc w:val="left"/>
      <w:pPr>
        <w:ind w:left="1701" w:hanging="425"/>
      </w:pPr>
      <w:rPr>
        <w:rFonts w:hint="eastAsia" w:ascii="宋体" w:hAnsi="Times New Roman" w:eastAsia="宋体"/>
        <w:sz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4">
    <w:nsid w:val="4F38A85C"/>
    <w:multiLevelType w:val="multilevel"/>
    <w:tmpl w:val="4F38A85C"/>
    <w:lvl w:ilvl="0" w:tentative="0">
      <w:start w:val="1"/>
      <w:numFmt w:val="decimal"/>
      <w:pStyle w:val="20"/>
      <w:suff w:val="space"/>
      <w:lvlText w:val="%1."/>
      <w:lvlJc w:val="left"/>
      <w:pPr>
        <w:tabs>
          <w:tab w:val="left" w:pos="0"/>
        </w:tabs>
        <w:ind w:left="0" w:firstLine="0"/>
      </w:pPr>
      <w:rPr>
        <w:rFonts w:hint="default" w:ascii="宋体" w:hAnsi="宋体" w:eastAsia="宋体" w:cs="宋体"/>
        <w:sz w:val="21"/>
      </w:rPr>
    </w:lvl>
    <w:lvl w:ilvl="1" w:tentative="0">
      <w:start w:val="1"/>
      <w:numFmt w:val="decimal"/>
      <w:suff w:val="space"/>
      <w:lvlText w:val="%1.%2."/>
      <w:lvlJc w:val="left"/>
      <w:pPr>
        <w:tabs>
          <w:tab w:val="left" w:pos="420"/>
        </w:tabs>
        <w:ind w:left="567" w:firstLine="0"/>
      </w:pPr>
      <w:rPr>
        <w:rFonts w:hint="default" w:ascii="宋体" w:hAnsi="宋体" w:eastAsia="宋体" w:cs="宋体"/>
        <w:b/>
      </w:rPr>
    </w:lvl>
    <w:lvl w:ilvl="2" w:tentative="0">
      <w:start w:val="1"/>
      <w:numFmt w:val="decimal"/>
      <w:suff w:val="space"/>
      <w:lvlText w:val="%1.%2.%3."/>
      <w:lvlJc w:val="left"/>
      <w:pPr>
        <w:tabs>
          <w:tab w:val="left" w:pos="0"/>
        </w:tabs>
        <w:ind w:left="1134" w:firstLine="0"/>
      </w:pPr>
      <w:rPr>
        <w:rFonts w:hint="default" w:ascii="宋体" w:hAnsi="宋体" w:eastAsia="宋体" w:cs="宋体"/>
        <w:b/>
      </w:rPr>
    </w:lvl>
    <w:lvl w:ilvl="3" w:tentative="0">
      <w:start w:val="1"/>
      <w:numFmt w:val="decimal"/>
      <w:suff w:val="space"/>
      <w:lvlText w:val="%1.%2.%3.%4."/>
      <w:lvlJc w:val="left"/>
      <w:pPr>
        <w:tabs>
          <w:tab w:val="left" w:pos="0"/>
        </w:tabs>
        <w:ind w:left="1701" w:firstLine="0"/>
      </w:pPr>
      <w:rPr>
        <w:rFonts w:hint="default" w:ascii="宋体" w:hAnsi="宋体" w:eastAsia="宋体" w:cs="宋体"/>
      </w:rPr>
    </w:lvl>
    <w:lvl w:ilvl="4" w:tentative="0">
      <w:start w:val="1"/>
      <w:numFmt w:val="decimal"/>
      <w:lvlText w:val="%1.%2.%3.%4.%5."/>
      <w:lvlJc w:val="left"/>
      <w:pPr>
        <w:tabs>
          <w:tab w:val="left" w:pos="420"/>
        </w:tabs>
        <w:ind w:left="1008" w:hanging="1008"/>
      </w:pPr>
      <w:rPr>
        <w:rFonts w:hint="default" w:ascii="宋体" w:hAnsi="宋体" w:eastAsia="宋体" w:cs="宋体"/>
      </w:rPr>
    </w:lvl>
    <w:lvl w:ilvl="5" w:tentative="0">
      <w:start w:val="1"/>
      <w:numFmt w:val="decimal"/>
      <w:lvlText w:val="%1.%2.%3.%4.%5.%6."/>
      <w:lvlJc w:val="left"/>
      <w:pPr>
        <w:ind w:left="1151" w:hanging="1151"/>
      </w:pPr>
      <w:rPr>
        <w:rFonts w:hint="default" w:ascii="宋体" w:hAnsi="宋体" w:eastAsia="宋体" w:cs="宋体"/>
      </w:rPr>
    </w:lvl>
    <w:lvl w:ilvl="6" w:tentative="0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420"/>
        </w:tabs>
        <w:ind w:left="1583" w:hanging="1583"/>
      </w:pPr>
      <w:rPr>
        <w:rFonts w:hint="default" w:ascii="宋体" w:hAnsi="宋体" w:eastAsia="宋体" w:cs="宋体"/>
      </w:rPr>
    </w:lvl>
  </w:abstractNum>
  <w:abstractNum w:abstractNumId="5">
    <w:nsid w:val="674F6470"/>
    <w:multiLevelType w:val="multilevel"/>
    <w:tmpl w:val="674F6470"/>
    <w:lvl w:ilvl="0" w:tentative="0">
      <w:start w:val="1"/>
      <w:numFmt w:val="decimal"/>
      <w:pStyle w:val="22"/>
      <w:suff w:val="space"/>
      <w:lvlText w:val="%1."/>
      <w:lvlJc w:val="left"/>
      <w:pPr>
        <w:tabs>
          <w:tab w:val="left" w:pos="0"/>
        </w:tabs>
        <w:ind w:left="0" w:firstLine="0"/>
      </w:pPr>
      <w:rPr>
        <w:rFonts w:hint="default" w:ascii="宋体" w:hAnsi="宋体" w:eastAsia="宋体" w:cs="宋体"/>
        <w:sz w:val="21"/>
      </w:rPr>
    </w:lvl>
    <w:lvl w:ilvl="1" w:tentative="0">
      <w:start w:val="1"/>
      <w:numFmt w:val="decimal"/>
      <w:pStyle w:val="21"/>
      <w:suff w:val="space"/>
      <w:lvlText w:val="%1.%2."/>
      <w:lvlJc w:val="left"/>
      <w:pPr>
        <w:tabs>
          <w:tab w:val="left" w:pos="0"/>
        </w:tabs>
        <w:ind w:left="397" w:firstLine="0"/>
      </w:pPr>
      <w:rPr>
        <w:rFonts w:hint="default" w:ascii="宋体" w:hAnsi="宋体" w:eastAsia="宋体" w:cs="宋体"/>
        <w:b/>
      </w:rPr>
    </w:lvl>
    <w:lvl w:ilvl="2" w:tentative="0">
      <w:start w:val="1"/>
      <w:numFmt w:val="decimal"/>
      <w:pStyle w:val="23"/>
      <w:suff w:val="space"/>
      <w:lvlText w:val="%1.%2.%3."/>
      <w:lvlJc w:val="left"/>
      <w:pPr>
        <w:tabs>
          <w:tab w:val="left" w:pos="0"/>
        </w:tabs>
        <w:ind w:left="794" w:firstLine="0"/>
      </w:pPr>
      <w:rPr>
        <w:rFonts w:hint="default" w:ascii="宋体" w:hAnsi="宋体" w:eastAsia="宋体" w:cs="宋体"/>
        <w:b/>
      </w:rPr>
    </w:lvl>
    <w:lvl w:ilvl="3" w:tentative="0">
      <w:start w:val="1"/>
      <w:numFmt w:val="decimal"/>
      <w:suff w:val="space"/>
      <w:lvlText w:val="%1.%2.%3.%4."/>
      <w:lvlJc w:val="left"/>
      <w:pPr>
        <w:tabs>
          <w:tab w:val="left" w:pos="0"/>
        </w:tabs>
        <w:ind w:left="1701" w:firstLine="0"/>
      </w:pPr>
      <w:rPr>
        <w:rFonts w:hint="default" w:ascii="宋体" w:hAnsi="宋体" w:eastAsia="宋体" w:cs="宋体"/>
      </w:rPr>
    </w:lvl>
    <w:lvl w:ilvl="4" w:tentative="0">
      <w:start w:val="1"/>
      <w:numFmt w:val="decimal"/>
      <w:lvlText w:val="%1.%2.%3.%4.%5."/>
      <w:lvlJc w:val="left"/>
      <w:pPr>
        <w:tabs>
          <w:tab w:val="left" w:pos="420"/>
        </w:tabs>
        <w:ind w:left="1008" w:hanging="1008"/>
      </w:pPr>
      <w:rPr>
        <w:rFonts w:hint="default" w:ascii="宋体" w:hAnsi="宋体" w:eastAsia="宋体" w:cs="宋体"/>
      </w:rPr>
    </w:lvl>
    <w:lvl w:ilvl="5" w:tentative="0">
      <w:start w:val="1"/>
      <w:numFmt w:val="decimal"/>
      <w:lvlText w:val="%1.%2.%3.%4.%5.%6."/>
      <w:lvlJc w:val="left"/>
      <w:pPr>
        <w:ind w:left="1151" w:hanging="1151"/>
      </w:pPr>
      <w:rPr>
        <w:rFonts w:hint="default" w:ascii="宋体" w:hAnsi="宋体" w:eastAsia="宋体" w:cs="宋体"/>
      </w:rPr>
    </w:lvl>
    <w:lvl w:ilvl="6" w:tentative="0">
      <w:start w:val="1"/>
      <w:numFmt w:val="decimal"/>
      <w:pStyle w:val="7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pStyle w:val="8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pStyle w:val="9"/>
      <w:lvlText w:val="%1.%2.%3.%4.%5.%6.%7.%8.%9."/>
      <w:lvlJc w:val="left"/>
      <w:pPr>
        <w:tabs>
          <w:tab w:val="left" w:pos="420"/>
        </w:tabs>
        <w:ind w:left="1583" w:hanging="1583"/>
      </w:pPr>
      <w:rPr>
        <w:rFonts w:hint="default" w:ascii="宋体" w:hAnsi="宋体" w:eastAsia="宋体" w:cs="宋体"/>
      </w:rPr>
    </w:lvl>
  </w:abstractNum>
  <w:abstractNum w:abstractNumId="6">
    <w:nsid w:val="6CEA2025"/>
    <w:multiLevelType w:val="multilevel"/>
    <w:tmpl w:val="6CEA2025"/>
    <w:lvl w:ilvl="0" w:tentative="0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28"/>
      <w:suff w:val="nothing"/>
      <w:lvlText w:val="%1%2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2" w:tentative="0">
      <w:start w:val="1"/>
      <w:numFmt w:val="decimal"/>
      <w:pStyle w:val="27"/>
      <w:suff w:val="nothing"/>
      <w:lvlText w:val="%1%2.%3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</w:rPr>
    </w:lvl>
    <w:lvl w:ilvl="3" w:tentative="0">
      <w:start w:val="1"/>
      <w:numFmt w:val="decimal"/>
      <w:pStyle w:val="29"/>
      <w:suff w:val="nothing"/>
      <w:lvlText w:val="%1%2.%3.%4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mirrorMargins w:val="1"/>
  <w:bordersDoNotSurroundHeader w:val="1"/>
  <w:bordersDoNotSurroundFooter w:val="1"/>
  <w:documentProtection w:enforcement="0"/>
  <w:defaultTabStop w:val="420"/>
  <w:drawingGridVerticalSpacing w:val="220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2"/>
  </w:compat>
  <w:docVars>
    <w:docVar w:name="commondata" w:val="eyJoZGlkIjoiZjgzMWY0NmQ3NmEwZTMyMWEzNGY0YWM4NWM3MmVjZDIifQ=="/>
  </w:docVars>
  <w:rsids>
    <w:rsidRoot w:val="71CC7FAA"/>
    <w:rsid w:val="000514B1"/>
    <w:rsid w:val="00154958"/>
    <w:rsid w:val="001C7C2B"/>
    <w:rsid w:val="00244A55"/>
    <w:rsid w:val="00675CAD"/>
    <w:rsid w:val="00707552"/>
    <w:rsid w:val="007D503A"/>
    <w:rsid w:val="009219B7"/>
    <w:rsid w:val="009A38A1"/>
    <w:rsid w:val="00B20E54"/>
    <w:rsid w:val="00BD3D29"/>
    <w:rsid w:val="00BF6113"/>
    <w:rsid w:val="00C66914"/>
    <w:rsid w:val="00C8426D"/>
    <w:rsid w:val="00D531FA"/>
    <w:rsid w:val="00DB75E4"/>
    <w:rsid w:val="00F31740"/>
    <w:rsid w:val="00FB3E3D"/>
    <w:rsid w:val="015905A6"/>
    <w:rsid w:val="01663C43"/>
    <w:rsid w:val="01A1319C"/>
    <w:rsid w:val="04435842"/>
    <w:rsid w:val="0933290B"/>
    <w:rsid w:val="0A9A7380"/>
    <w:rsid w:val="0B3E2813"/>
    <w:rsid w:val="0C7D47C0"/>
    <w:rsid w:val="0E095BC9"/>
    <w:rsid w:val="0ECF77A9"/>
    <w:rsid w:val="0F4538D1"/>
    <w:rsid w:val="0F803475"/>
    <w:rsid w:val="10032548"/>
    <w:rsid w:val="10AD3A65"/>
    <w:rsid w:val="116975B5"/>
    <w:rsid w:val="13D11138"/>
    <w:rsid w:val="18627809"/>
    <w:rsid w:val="18E77190"/>
    <w:rsid w:val="1A2A3350"/>
    <w:rsid w:val="1BCD3087"/>
    <w:rsid w:val="1D91196C"/>
    <w:rsid w:val="1FC47BDC"/>
    <w:rsid w:val="1FC6003B"/>
    <w:rsid w:val="210B5796"/>
    <w:rsid w:val="216E1D2D"/>
    <w:rsid w:val="217D46AD"/>
    <w:rsid w:val="22263E0C"/>
    <w:rsid w:val="23AD384D"/>
    <w:rsid w:val="243D5CE8"/>
    <w:rsid w:val="260D2CC1"/>
    <w:rsid w:val="277169CC"/>
    <w:rsid w:val="27EA5A9F"/>
    <w:rsid w:val="2A5A31DA"/>
    <w:rsid w:val="317E14D0"/>
    <w:rsid w:val="329C2902"/>
    <w:rsid w:val="35681E4E"/>
    <w:rsid w:val="364231E3"/>
    <w:rsid w:val="368E4F3A"/>
    <w:rsid w:val="375376ED"/>
    <w:rsid w:val="3B1F467C"/>
    <w:rsid w:val="3BEB3CB9"/>
    <w:rsid w:val="3D2C1701"/>
    <w:rsid w:val="3F9645DE"/>
    <w:rsid w:val="40D94049"/>
    <w:rsid w:val="41027F75"/>
    <w:rsid w:val="424F5FE8"/>
    <w:rsid w:val="44344745"/>
    <w:rsid w:val="44F04D5A"/>
    <w:rsid w:val="47743CD8"/>
    <w:rsid w:val="47895918"/>
    <w:rsid w:val="47D00983"/>
    <w:rsid w:val="4B6BCBB7"/>
    <w:rsid w:val="4C6F7204"/>
    <w:rsid w:val="4DA55470"/>
    <w:rsid w:val="4F363764"/>
    <w:rsid w:val="4F37211B"/>
    <w:rsid w:val="5125583B"/>
    <w:rsid w:val="5207364F"/>
    <w:rsid w:val="53B31900"/>
    <w:rsid w:val="53BF4970"/>
    <w:rsid w:val="552605A8"/>
    <w:rsid w:val="560940AC"/>
    <w:rsid w:val="59A363E7"/>
    <w:rsid w:val="59A40A96"/>
    <w:rsid w:val="5C1A2652"/>
    <w:rsid w:val="5CBD0D98"/>
    <w:rsid w:val="5D6925D2"/>
    <w:rsid w:val="5D6C44E8"/>
    <w:rsid w:val="5E28651C"/>
    <w:rsid w:val="5FAF36A8"/>
    <w:rsid w:val="61667A06"/>
    <w:rsid w:val="616E7D1B"/>
    <w:rsid w:val="63E853DA"/>
    <w:rsid w:val="665967E1"/>
    <w:rsid w:val="67411CFD"/>
    <w:rsid w:val="682820A1"/>
    <w:rsid w:val="69377A7D"/>
    <w:rsid w:val="69D41322"/>
    <w:rsid w:val="6A7243E1"/>
    <w:rsid w:val="6A940CE6"/>
    <w:rsid w:val="6C6553A3"/>
    <w:rsid w:val="6C924135"/>
    <w:rsid w:val="6D4569AC"/>
    <w:rsid w:val="6D7D17E6"/>
    <w:rsid w:val="6FED919F"/>
    <w:rsid w:val="71CC7FAA"/>
    <w:rsid w:val="74594F39"/>
    <w:rsid w:val="77B66B33"/>
    <w:rsid w:val="77D50E5E"/>
    <w:rsid w:val="799139C7"/>
    <w:rsid w:val="7A42443A"/>
    <w:rsid w:val="7B06262C"/>
    <w:rsid w:val="7B346F0F"/>
    <w:rsid w:val="7ED738CD"/>
    <w:rsid w:val="7F1E0914"/>
    <w:rsid w:val="7FEE7C13"/>
    <w:rsid w:val="7FFF285E"/>
    <w:rsid w:val="97DD46E6"/>
    <w:rsid w:val="AD8FFF4A"/>
    <w:rsid w:val="BCDD8C27"/>
    <w:rsid w:val="BEF35F78"/>
    <w:rsid w:val="E77BDAC3"/>
    <w:rsid w:val="ECE20AA2"/>
    <w:rsid w:val="EFBF659B"/>
    <w:rsid w:val="F2F6EE7F"/>
    <w:rsid w:val="F6EA5746"/>
    <w:rsid w:val="FD7F840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line="560" w:lineRule="exact"/>
      <w:ind w:firstLine="640" w:firstLineChars="200"/>
      <w:jc w:val="both"/>
    </w:pPr>
    <w:rPr>
      <w:rFonts w:ascii="Calibri" w:hAnsi="Calibri" w:eastAsia="仿宋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20"/>
      <w:ind w:firstLine="0" w:firstLineChars="0"/>
      <w:jc w:val="left"/>
      <w:outlineLvl w:val="0"/>
    </w:pPr>
    <w:rPr>
      <w:rFonts w:eastAsia="黑体"/>
      <w:bCs/>
      <w:kern w:val="44"/>
      <w:szCs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ind w:firstLine="0" w:firstLineChars="0"/>
      <w:outlineLvl w:val="1"/>
    </w:pPr>
    <w:rPr>
      <w:rFonts w:ascii="Arial" w:hAnsi="Arial" w:eastAsia="楷体"/>
      <w:bCs/>
      <w:szCs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numPr>
        <w:ilvl w:val="0"/>
        <w:numId w:val="1"/>
      </w:numPr>
      <w:ind w:left="0" w:firstLine="720"/>
      <w:outlineLvl w:val="2"/>
    </w:pPr>
    <w:rPr>
      <w:bCs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outlineLvl w:val="3"/>
    </w:pPr>
    <w:rPr>
      <w:rFonts w:ascii="Arial" w:hAnsi="Arial"/>
      <w:bCs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2"/>
      </w:numPr>
      <w:spacing w:before="280" w:after="290" w:line="372" w:lineRule="auto"/>
      <w:outlineLvl w:val="4"/>
    </w:pPr>
    <w:rPr>
      <w:b/>
      <w:sz w:val="28"/>
    </w:rPr>
  </w:style>
  <w:style w:type="paragraph" w:styleId="7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3"/>
      </w:numPr>
      <w:spacing w:before="240" w:after="64" w:line="317" w:lineRule="auto"/>
      <w:outlineLvl w:val="6"/>
    </w:pPr>
    <w:rPr>
      <w:b/>
    </w:rPr>
  </w:style>
  <w:style w:type="paragraph" w:styleId="8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3"/>
      </w:numPr>
      <w:spacing w:before="240" w:after="64" w:line="317" w:lineRule="auto"/>
      <w:outlineLvl w:val="7"/>
    </w:pPr>
    <w:rPr>
      <w:rFonts w:ascii="Arial" w:hAnsi="Arial" w:eastAsia="黑体"/>
    </w:rPr>
  </w:style>
  <w:style w:type="paragraph" w:styleId="9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3"/>
      </w:numPr>
      <w:spacing w:before="240" w:after="64" w:line="317" w:lineRule="auto"/>
      <w:outlineLvl w:val="8"/>
    </w:pPr>
    <w:rPr>
      <w:rFonts w:ascii="Arial" w:hAnsi="Arial" w:eastAsia="黑体"/>
      <w:sz w:val="21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toc 3"/>
    <w:basedOn w:val="1"/>
    <w:next w:val="1"/>
    <w:qFormat/>
    <w:uiPriority w:val="0"/>
    <w:pPr>
      <w:ind w:left="840" w:leftChars="400"/>
    </w:pPr>
  </w:style>
  <w:style w:type="paragraph" w:styleId="11">
    <w:name w:val="footer"/>
    <w:basedOn w:val="1"/>
    <w:link w:val="32"/>
    <w:qFormat/>
    <w:uiPriority w:val="0"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paragraph" w:styleId="12">
    <w:name w:val="header"/>
    <w:basedOn w:val="1"/>
    <w:link w:val="3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paragraph" w:styleId="13">
    <w:name w:val="toc 1"/>
    <w:basedOn w:val="1"/>
    <w:next w:val="1"/>
    <w:qFormat/>
    <w:uiPriority w:val="0"/>
  </w:style>
  <w:style w:type="paragraph" w:styleId="14">
    <w:name w:val="toc 2"/>
    <w:basedOn w:val="1"/>
    <w:next w:val="1"/>
    <w:qFormat/>
    <w:uiPriority w:val="0"/>
    <w:pPr>
      <w:ind w:left="420" w:leftChars="200"/>
    </w:pPr>
  </w:style>
  <w:style w:type="paragraph" w:styleId="15">
    <w:name w:val="Normal (Web)"/>
    <w:basedOn w:val="1"/>
    <w:qFormat/>
    <w:uiPriority w:val="0"/>
    <w:rPr>
      <w:sz w:val="24"/>
    </w:rPr>
  </w:style>
  <w:style w:type="table" w:styleId="17">
    <w:name w:val="Table Grid"/>
    <w:basedOn w:val="1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paragraph" w:customStyle="1" w:styleId="19">
    <w:name w:val="Surfer样式1"/>
    <w:next w:val="1"/>
    <w:qFormat/>
    <w:uiPriority w:val="0"/>
    <w:pPr>
      <w:numPr>
        <w:ilvl w:val="0"/>
        <w:numId w:val="4"/>
      </w:numPr>
      <w:snapToGrid w:val="0"/>
      <w:spacing w:line="360" w:lineRule="auto"/>
      <w:jc w:val="both"/>
      <w:outlineLvl w:val="0"/>
    </w:pPr>
    <w:rPr>
      <w:rFonts w:ascii="Arial" w:hAnsi="Arial" w:eastAsia="黑体" w:cstheme="minorBidi"/>
      <w:sz w:val="21"/>
      <w:lang w:val="en-US" w:eastAsia="zh-CN" w:bidi="ar-SA"/>
    </w:rPr>
  </w:style>
  <w:style w:type="paragraph" w:customStyle="1" w:styleId="20">
    <w:name w:val="surfer样式2"/>
    <w:basedOn w:val="19"/>
    <w:qFormat/>
    <w:uiPriority w:val="0"/>
    <w:pPr>
      <w:numPr>
        <w:numId w:val="5"/>
      </w:numPr>
      <w:outlineLvl w:val="1"/>
    </w:pPr>
    <w:rPr>
      <w:sz w:val="20"/>
    </w:rPr>
  </w:style>
  <w:style w:type="paragraph" w:customStyle="1" w:styleId="21">
    <w:name w:val="s样式2"/>
    <w:basedOn w:val="22"/>
    <w:qFormat/>
    <w:uiPriority w:val="0"/>
    <w:pPr>
      <w:numPr>
        <w:ilvl w:val="1"/>
      </w:numPr>
      <w:tabs>
        <w:tab w:val="left" w:pos="0"/>
      </w:tabs>
      <w:outlineLvl w:val="1"/>
    </w:pPr>
    <w:rPr>
      <w:sz w:val="20"/>
    </w:rPr>
  </w:style>
  <w:style w:type="paragraph" w:customStyle="1" w:styleId="22">
    <w:name w:val="S样式1"/>
    <w:basedOn w:val="1"/>
    <w:next w:val="21"/>
    <w:qFormat/>
    <w:uiPriority w:val="0"/>
    <w:pPr>
      <w:numPr>
        <w:ilvl w:val="0"/>
        <w:numId w:val="3"/>
      </w:numPr>
      <w:outlineLvl w:val="0"/>
    </w:pPr>
    <w:rPr>
      <w:rFonts w:ascii="Arial" w:hAnsi="Arial" w:eastAsia="黑体" w:cs="Times New Roman"/>
    </w:rPr>
  </w:style>
  <w:style w:type="paragraph" w:customStyle="1" w:styleId="23">
    <w:name w:val="S样式3"/>
    <w:basedOn w:val="21"/>
    <w:next w:val="1"/>
    <w:qFormat/>
    <w:uiPriority w:val="0"/>
    <w:pPr>
      <w:numPr>
        <w:ilvl w:val="2"/>
      </w:numPr>
    </w:pPr>
    <w:rPr>
      <w:rFonts w:eastAsia="宋体"/>
      <w:b/>
    </w:rPr>
  </w:style>
  <w:style w:type="paragraph" w:customStyle="1" w:styleId="24">
    <w:name w:val="标准文件_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25">
    <w:name w:val="标准文件_术语条一"/>
    <w:basedOn w:val="26"/>
    <w:next w:val="24"/>
    <w:qFormat/>
    <w:uiPriority w:val="0"/>
  </w:style>
  <w:style w:type="paragraph" w:customStyle="1" w:styleId="26">
    <w:name w:val="标准文件_一级无标题"/>
    <w:basedOn w:val="27"/>
    <w:qFormat/>
    <w:uiPriority w:val="0"/>
    <w:pPr>
      <w:spacing w:beforeLines="0" w:afterLines="0"/>
      <w:outlineLvl w:val="9"/>
    </w:pPr>
    <w:rPr>
      <w:rFonts w:ascii="宋体" w:eastAsia="宋体"/>
    </w:rPr>
  </w:style>
  <w:style w:type="paragraph" w:customStyle="1" w:styleId="27">
    <w:name w:val="标准文件_一级条标题"/>
    <w:basedOn w:val="28"/>
    <w:next w:val="24"/>
    <w:qFormat/>
    <w:uiPriority w:val="0"/>
    <w:pPr>
      <w:numPr>
        <w:ilvl w:val="2"/>
      </w:numPr>
      <w:spacing w:beforeLines="50" w:afterLines="50"/>
      <w:outlineLvl w:val="1"/>
    </w:pPr>
  </w:style>
  <w:style w:type="paragraph" w:customStyle="1" w:styleId="28">
    <w:name w:val="标准文件_章标题"/>
    <w:next w:val="24"/>
    <w:qFormat/>
    <w:uiPriority w:val="0"/>
    <w:pPr>
      <w:numPr>
        <w:ilvl w:val="1"/>
        <w:numId w:val="6"/>
      </w:numPr>
      <w:spacing w:beforeLines="100" w:afterLines="100"/>
      <w:jc w:val="both"/>
      <w:outlineLvl w:val="0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29">
    <w:name w:val="标准文件_二级条标题"/>
    <w:next w:val="24"/>
    <w:qFormat/>
    <w:uiPriority w:val="0"/>
    <w:pPr>
      <w:widowControl w:val="0"/>
      <w:numPr>
        <w:ilvl w:val="3"/>
        <w:numId w:val="6"/>
      </w:numPr>
      <w:spacing w:beforeLines="50" w:afterLines="50"/>
      <w:jc w:val="both"/>
      <w:outlineLvl w:val="2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30">
    <w:name w:val="标准文件_字母编号列项（一级）"/>
    <w:qFormat/>
    <w:uiPriority w:val="0"/>
    <w:pPr>
      <w:numPr>
        <w:ilvl w:val="0"/>
        <w:numId w:val="7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31">
    <w:name w:val="页眉 Char"/>
    <w:basedOn w:val="18"/>
    <w:link w:val="12"/>
    <w:qFormat/>
    <w:uiPriority w:val="0"/>
    <w:rPr>
      <w:rFonts w:ascii="Calibri" w:hAnsi="Calibri" w:eastAsia="宋体"/>
      <w:kern w:val="2"/>
      <w:sz w:val="18"/>
      <w:szCs w:val="18"/>
    </w:rPr>
  </w:style>
  <w:style w:type="character" w:customStyle="1" w:styleId="32">
    <w:name w:val="页脚 Char"/>
    <w:basedOn w:val="18"/>
    <w:link w:val="11"/>
    <w:qFormat/>
    <w:uiPriority w:val="0"/>
    <w:rPr>
      <w:rFonts w:ascii="Calibri" w:hAnsi="Calibri" w:eastAsia="宋体"/>
      <w:kern w:val="2"/>
      <w:sz w:val="18"/>
      <w:szCs w:val="18"/>
    </w:rPr>
  </w:style>
  <w:style w:type="paragraph" w:customStyle="1" w:styleId="33">
    <w:name w:val="标准文件_表格"/>
    <w:qFormat/>
    <w:uiPriority w:val="0"/>
    <w:pPr>
      <w:autoSpaceDE w:val="0"/>
      <w:autoSpaceDN w:val="0"/>
      <w:jc w:val="center"/>
    </w:pPr>
    <w:rPr>
      <w:rFonts w:hint="eastAsia" w:ascii="宋体" w:hAnsi="Times New Roman" w:eastAsia="宋体" w:cs="Times New Roman"/>
      <w:sz w:val="18"/>
      <w:lang w:val="en-US" w:eastAsia="zh-CN" w:bidi="ar-SA"/>
    </w:rPr>
  </w:style>
  <w:style w:type="character" w:customStyle="1" w:styleId="34">
    <w:name w:val="标准文件_段 Char"/>
    <w:basedOn w:val="18"/>
    <w:qFormat/>
    <w:uiPriority w:val="0"/>
    <w:rPr>
      <w:rFonts w:hint="eastAsia" w:ascii="宋体" w:hAnsi="Times New Roman" w:eastAsia="宋体" w:cs="宋体"/>
      <w:sz w:val="21"/>
    </w:rPr>
  </w:style>
  <w:style w:type="paragraph" w:customStyle="1" w:styleId="35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36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WPSOffice手动目录 3"/>
    <w:qFormat/>
    <w:uiPriority w:val="0"/>
    <w:pPr>
      <w:ind w:left="400" w:leftChars="400"/>
    </w:pPr>
    <w:rPr>
      <w:rFonts w:ascii="Times New Roman" w:hAnsi="Times New Roman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2</Pages>
  <Words>1855</Words>
  <Characters>2044</Characters>
  <Lines>14</Lines>
  <Paragraphs>4</Paragraphs>
  <TotalTime>5</TotalTime>
  <ScaleCrop>false</ScaleCrop>
  <LinksUpToDate>false</LinksUpToDate>
  <CharactersWithSpaces>2050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2022-06-01T05:09:00Z</dcterms:created>
  <dc:creator>沈晓辉</dc:creator>
  <cp:lastModifiedBy>新疆森阳环保科技有限公司</cp:lastModifiedBy>
  <cp:lastPrinted>2023-05-29T20:11:00Z</cp:lastPrinted>
  <dcterms:modified xsi:type="dcterms:W3CDTF">2023-08-21T18:27:14Z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19771F7DA6AA4093B8B15A5FB25121F9_13</vt:lpwstr>
  </property>
</Properties>
</file>