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56" w:beforeLines="50" w:after="156" w:afterLines="50"/>
        <w:ind w:firstLine="643" w:firstLineChars="200"/>
        <w:rPr>
          <w:rFonts w:hint="eastAsia"/>
        </w:rPr>
      </w:pPr>
      <w:bookmarkStart w:id="1" w:name="_GoBack"/>
      <w:bookmarkEnd w:id="1"/>
      <w:bookmarkStart w:id="0" w:name="_Toc6688"/>
      <w:r>
        <w:rPr>
          <w:rFonts w:hint="eastAsia"/>
        </w:rPr>
        <w:t>六、财政拨款“三公”经费支出决算表（本级）</w:t>
      </w:r>
      <w:bookmarkEnd w:id="0"/>
    </w:p>
    <w:tbl>
      <w:tblPr>
        <w:tblStyle w:val="4"/>
        <w:tblW w:w="83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3"/>
        <w:gridCol w:w="1594"/>
        <w:gridCol w:w="15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年度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 w:bidi="ar"/>
              </w:rPr>
              <w:t>伊犁州本级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财政拨款“三公”经费支出决算表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 xml:space="preserve">         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bidi="ar"/>
              </w:rPr>
              <w:t>项目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bidi="ar"/>
              </w:rPr>
              <w:t>预算数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bidi="ar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bidi="ar"/>
              </w:rPr>
              <w:t xml:space="preserve"> 因公出国（境）费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0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1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bidi="ar"/>
              </w:rPr>
              <w:t xml:space="preserve"> 公务用车购置及运行维护费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2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2162.19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3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2012.77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bidi="ar"/>
              </w:rPr>
              <w:t xml:space="preserve">    （1）公务用车购置费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4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286.08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5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286.08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bidi="ar"/>
              </w:rPr>
              <w:t xml:space="preserve">    （2）公务用车运行维护费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6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1876.11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7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1726.69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bidi="ar"/>
              </w:rPr>
              <w:t xml:space="preserve"> 公务接待费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8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142.44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9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142.44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10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2304.63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  <w:pPrChange w:id="11" w:author="一一 孙" w:date="2024-09-20T19:10:00Z">
                <w:pPr/>
              </w:pPrChange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2155.21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一一 孙">
    <w15:presenceInfo w15:providerId="None" w15:userId="一一 孙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9676E"/>
    <w:rsid w:val="1BA257A2"/>
    <w:rsid w:val="255C4358"/>
    <w:rsid w:val="28827A73"/>
    <w:rsid w:val="397D5028"/>
    <w:rsid w:val="487C3C8C"/>
    <w:rsid w:val="5DA3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0" w:beforeLines="10" w:after="10" w:afterLines="10" w:line="560" w:lineRule="exact"/>
      <w:outlineLvl w:val="2"/>
    </w:pPr>
    <w:rPr>
      <w:rFonts w:eastAsia="楷体_GB2312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182</Characters>
  <Lines>0</Lines>
  <Paragraphs>0</Paragraphs>
  <TotalTime>68</TotalTime>
  <ScaleCrop>false</ScaleCrop>
  <LinksUpToDate>false</LinksUpToDate>
  <CharactersWithSpaces>202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2025-09-10T10:27:19Z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73923B410B9F45ECA09079B3EA59AE02</vt:lpwstr>
  </property>
</Properties>
</file>