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A8D292">
      <w:pPr>
        <w:pStyle w:val="2"/>
        <w:keepNext w:val="0"/>
        <w:keepLines w:val="0"/>
        <w:pageBreakBefore w:val="0"/>
        <w:widowControl/>
        <w:kinsoku/>
        <w:wordWrap/>
        <w:overflowPunct/>
        <w:topLinePunct w:val="0"/>
        <w:autoSpaceDE/>
        <w:autoSpaceDN/>
        <w:bidi w:val="0"/>
        <w:adjustRightInd/>
        <w:snapToGrid/>
        <w:spacing w:beforeAutospacing="0" w:afterAutospacing="0" w:line="700" w:lineRule="exact"/>
        <w:jc w:val="center"/>
        <w:textAlignment w:val="auto"/>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eastAsia" w:ascii="Times New Roman" w:hAnsi="Times New Roman" w:eastAsia="方正小标宋简体" w:cs="Times New Roman"/>
          <w:color w:val="000000" w:themeColor="text1"/>
          <w:sz w:val="44"/>
          <w:szCs w:val="44"/>
          <w14:textFill>
            <w14:solidFill>
              <w14:schemeClr w14:val="tx1"/>
            </w14:solidFill>
          </w14:textFill>
        </w:rPr>
        <w:t>伊犁州</w:t>
      </w:r>
      <w:r>
        <w:rPr>
          <w:rFonts w:hint="default" w:ascii="Times New Roman" w:hAnsi="Times New Roman" w:eastAsia="方正小标宋简体" w:cs="Times New Roman"/>
          <w:color w:val="000000" w:themeColor="text1"/>
          <w:sz w:val="44"/>
          <w:szCs w:val="44"/>
          <w14:textFill>
            <w14:solidFill>
              <w14:schemeClr w14:val="tx1"/>
            </w14:solidFill>
          </w14:textFill>
        </w:rPr>
        <w:t>202</w:t>
      </w:r>
      <w:r>
        <w:rPr>
          <w:rFonts w:hint="eastAsia" w:ascii="Times New Roman" w:hAnsi="Times New Roman" w:eastAsia="方正小标宋简体" w:cs="Times New Roman"/>
          <w:color w:val="000000" w:themeColor="text1"/>
          <w:sz w:val="44"/>
          <w:szCs w:val="44"/>
          <w:lang w:val="en-US" w:eastAsia="zh-CN"/>
          <w14:textFill>
            <w14:solidFill>
              <w14:schemeClr w14:val="tx1"/>
            </w14:solidFill>
          </w14:textFill>
        </w:rPr>
        <w:t>6</w:t>
      </w:r>
      <w:r>
        <w:rPr>
          <w:rFonts w:hint="eastAsia" w:ascii="Times New Roman" w:hAnsi="Times New Roman" w:eastAsia="方正小标宋简体" w:cs="Times New Roman"/>
          <w:color w:val="000000" w:themeColor="text1"/>
          <w:sz w:val="44"/>
          <w:szCs w:val="44"/>
          <w14:textFill>
            <w14:solidFill>
              <w14:schemeClr w14:val="tx1"/>
            </w14:solidFill>
          </w14:textFill>
        </w:rPr>
        <w:t>年中小学生校服</w:t>
      </w:r>
      <w:r>
        <w:rPr>
          <w:rFonts w:hint="eastAsia" w:ascii="Times New Roman" w:hAnsi="Times New Roman" w:eastAsia="方正小标宋简体" w:cs="Times New Roman"/>
          <w:color w:val="000000" w:themeColor="text1"/>
          <w:sz w:val="44"/>
          <w:szCs w:val="44"/>
          <w:lang w:eastAsia="zh-CN"/>
          <w14:textFill>
            <w14:solidFill>
              <w14:schemeClr w14:val="tx1"/>
            </w14:solidFill>
          </w14:textFill>
        </w:rPr>
        <w:t>产品质量</w:t>
      </w:r>
      <w:r>
        <w:rPr>
          <w:rFonts w:hint="default" w:ascii="Times New Roman" w:hAnsi="Times New Roman" w:eastAsia="方正小标宋简体" w:cs="Times New Roman"/>
          <w:color w:val="000000" w:themeColor="text1"/>
          <w:sz w:val="44"/>
          <w:szCs w:val="44"/>
          <w14:textFill>
            <w14:solidFill>
              <w14:schemeClr w14:val="tx1"/>
            </w14:solidFill>
          </w14:textFill>
        </w:rPr>
        <w:t>监督</w:t>
      </w:r>
    </w:p>
    <w:p w14:paraId="0065A570">
      <w:pPr>
        <w:pStyle w:val="2"/>
        <w:keepNext w:val="0"/>
        <w:keepLines w:val="0"/>
        <w:pageBreakBefore w:val="0"/>
        <w:widowControl/>
        <w:kinsoku/>
        <w:wordWrap/>
        <w:overflowPunct/>
        <w:topLinePunct w:val="0"/>
        <w:autoSpaceDE/>
        <w:autoSpaceDN/>
        <w:bidi w:val="0"/>
        <w:adjustRightInd/>
        <w:snapToGrid/>
        <w:spacing w:beforeAutospacing="0" w:afterAutospacing="0" w:line="700" w:lineRule="exact"/>
        <w:jc w:val="center"/>
        <w:textAlignment w:val="auto"/>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抽查实施细则</w:t>
      </w:r>
    </w:p>
    <w:p w14:paraId="55CBF4E8">
      <w:pPr>
        <w:pStyle w:val="2"/>
        <w:keepNext w:val="0"/>
        <w:keepLines w:val="0"/>
        <w:pageBreakBefore w:val="0"/>
        <w:widowControl/>
        <w:kinsoku/>
        <w:wordWrap/>
        <w:overflowPunct/>
        <w:topLinePunct w:val="0"/>
        <w:autoSpaceDE/>
        <w:autoSpaceDN/>
        <w:bidi w:val="0"/>
        <w:adjustRightInd/>
        <w:snapToGrid/>
        <w:spacing w:beforeAutospacing="0" w:afterAutospacing="0" w:line="700" w:lineRule="exact"/>
        <w:jc w:val="center"/>
        <w:textAlignment w:val="auto"/>
        <w:rPr>
          <w:rFonts w:hint="default" w:ascii="Times New Roman" w:hAnsi="Times New Roman" w:eastAsia="方正小标宋简体" w:cs="Times New Roman"/>
          <w:color w:val="000000" w:themeColor="text1"/>
          <w:sz w:val="44"/>
          <w:szCs w:val="44"/>
          <w14:textFill>
            <w14:solidFill>
              <w14:schemeClr w14:val="tx1"/>
            </w14:solidFill>
          </w14:textFill>
        </w:rPr>
      </w:pPr>
    </w:p>
    <w:p w14:paraId="1EB8F92D">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rPr>
          <w:rFonts w:hint="default" w:ascii="Times New Roman" w:hAnsi="Times New Roman" w:eastAsia="黑体"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黑体" w:cs="Times New Roman"/>
          <w:color w:val="000000" w:themeColor="text1"/>
          <w:sz w:val="32"/>
          <w:szCs w:val="32"/>
          <w:shd w:val="clear" w:color="auto" w:fill="FFFFFF"/>
          <w14:textFill>
            <w14:solidFill>
              <w14:schemeClr w14:val="tx1"/>
            </w14:solidFill>
          </w14:textFill>
        </w:rPr>
        <w:t>1.</w:t>
      </w:r>
      <w:r>
        <w:rPr>
          <w:rFonts w:hint="eastAsia" w:ascii="Times New Roman" w:hAnsi="Times New Roman" w:eastAsia="黑体" w:cs="Times New Roman"/>
          <w:color w:val="000000" w:themeColor="text1"/>
          <w:sz w:val="32"/>
          <w:szCs w:val="32"/>
          <w:shd w:val="clear" w:color="auto" w:fill="FFFFFF"/>
          <w14:textFill>
            <w14:solidFill>
              <w14:schemeClr w14:val="tx1"/>
            </w14:solidFill>
          </w14:textFill>
        </w:rPr>
        <w:t>监督抽查范围</w:t>
      </w:r>
    </w:p>
    <w:p w14:paraId="5A2B8977">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jc w:val="left"/>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本细则适用伊犁州市场监督管理局组织的中小学生校服产品质量监督抽查，监督抽查产品范围：伊犁州直生产领域、流通领域的中小学生校服。</w:t>
      </w:r>
    </w:p>
    <w:p w14:paraId="1B46968C">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jc w:val="left"/>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监督抽查对象包括伊犁州中小学生校服生产企业，销售单位及非市场主体</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学校（包括在幼儿园、中小学校存放、使用）的学生校服。</w:t>
      </w:r>
    </w:p>
    <w:p w14:paraId="5262C740">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jc w:val="left"/>
        <w:rPr>
          <w:rFonts w:ascii="仿宋_GB2312" w:hAnsi="仿宋" w:eastAsia="仿宋_GB2312" w:cs="仿宋"/>
          <w:color w:val="333333"/>
          <w:sz w:val="32"/>
          <w:szCs w:val="32"/>
          <w:shd w:val="clear" w:color="auto" w:fill="FFFFFF"/>
        </w:rPr>
      </w:pP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本细则内容包括产品分类、术语和定义、检验依据、抽样、检验要求、判定原则及结</w:t>
      </w:r>
      <w:r>
        <w:rPr>
          <w:rFonts w:hint="eastAsia" w:ascii="仿宋_GB2312" w:hAnsi="仿宋" w:eastAsia="仿宋_GB2312" w:cs="仿宋"/>
          <w:color w:val="333333"/>
          <w:sz w:val="32"/>
          <w:szCs w:val="32"/>
          <w:shd w:val="clear" w:color="auto" w:fill="FFFFFF"/>
        </w:rPr>
        <w:t>论表述、异议处理复检、样品处置及附则。</w:t>
      </w:r>
    </w:p>
    <w:p w14:paraId="59B49B96">
      <w:pPr>
        <w:pStyle w:val="3"/>
        <w:widowControl/>
        <w:shd w:val="clear" w:color="auto" w:fill="FFFFFF"/>
        <w:spacing w:beforeAutospacing="0" w:afterAutospacing="0" w:line="520" w:lineRule="atLeast"/>
        <w:ind w:firstLine="640" w:firstLineChars="200"/>
        <w:rPr>
          <w:rFonts w:ascii="黑体" w:hAnsi="宋体" w:eastAsia="黑体" w:cs="黑体"/>
          <w:color w:val="000000"/>
          <w:sz w:val="32"/>
          <w:szCs w:val="32"/>
          <w:shd w:val="clear" w:color="auto" w:fill="FFFFFF"/>
        </w:rPr>
      </w:pPr>
      <w:r>
        <w:rPr>
          <w:rFonts w:ascii="黑体" w:hAnsi="宋体" w:eastAsia="黑体" w:cs="黑体"/>
          <w:color w:val="000000"/>
          <w:sz w:val="32"/>
          <w:szCs w:val="32"/>
          <w:shd w:val="clear" w:color="auto" w:fill="FFFFFF"/>
        </w:rPr>
        <w:t>2.</w:t>
      </w:r>
      <w:r>
        <w:rPr>
          <w:rFonts w:hint="eastAsia" w:ascii="黑体" w:hAnsi="宋体" w:eastAsia="黑体" w:cs="黑体"/>
          <w:color w:val="000000"/>
          <w:sz w:val="32"/>
          <w:szCs w:val="32"/>
          <w:shd w:val="clear" w:color="auto" w:fill="FFFFFF"/>
        </w:rPr>
        <w:t> 产品分类</w:t>
      </w:r>
    </w:p>
    <w:p w14:paraId="1017DA3F">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jc w:val="left"/>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本细则涉及产品种类：中小学生校服（包括校服夏装、春秋装、冬装）。</w:t>
      </w:r>
    </w:p>
    <w:p w14:paraId="2F12B979">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rPr>
          <w:rFonts w:hint="eastAsia" w:ascii="Times New Roman" w:hAnsi="Times New Roman" w:eastAsia="黑体"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黑体" w:cs="Times New Roman"/>
          <w:color w:val="000000" w:themeColor="text1"/>
          <w:sz w:val="32"/>
          <w:szCs w:val="32"/>
          <w:shd w:val="clear" w:color="auto" w:fill="FFFFFF"/>
          <w14:textFill>
            <w14:solidFill>
              <w14:schemeClr w14:val="tx1"/>
            </w14:solidFill>
          </w14:textFill>
        </w:rPr>
        <w:t>3. 术语和定义</w:t>
      </w:r>
    </w:p>
    <w:p w14:paraId="2E1B6431">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jc w:val="left"/>
        <w:rPr>
          <w:rFonts w:ascii="仿宋_GB2312" w:hAnsi="Times New Roman" w:eastAsia="仿宋_GB2312"/>
          <w:color w:val="000000"/>
          <w:kern w:val="0"/>
          <w:sz w:val="32"/>
          <w:szCs w:val="32"/>
        </w:rPr>
      </w:pP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本细则中未列出的术语和定义同相关引用标准。</w:t>
      </w:r>
    </w:p>
    <w:p w14:paraId="614C013B">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rPr>
          <w:rFonts w:hint="eastAsia" w:ascii="Times New Roman" w:hAnsi="Times New Roman" w:eastAsia="黑体"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黑体" w:cs="Times New Roman"/>
          <w:color w:val="000000" w:themeColor="text1"/>
          <w:sz w:val="32"/>
          <w:szCs w:val="32"/>
          <w:shd w:val="clear" w:color="auto" w:fill="FFFFFF"/>
          <w14:textFill>
            <w14:solidFill>
              <w14:schemeClr w14:val="tx1"/>
            </w14:solidFill>
          </w14:textFill>
        </w:rPr>
        <w:t>4. 检验依据</w:t>
      </w:r>
    </w:p>
    <w:p w14:paraId="7FFF90B2">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jc w:val="left"/>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凡是注日期的文件，其随后所有的修改单（不包括勘误的内容）或修订版不适用于本细则。凡是不注日期的文件，其最新版本适用于本细则。</w:t>
      </w:r>
    </w:p>
    <w:p w14:paraId="1011A07B">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jc w:val="left"/>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GB 18401—2010</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国家纺织产品基本安全技术规范</w:t>
      </w:r>
    </w:p>
    <w:p w14:paraId="15F6D5B5">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jc w:val="left"/>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GB 31701—2015</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婴幼儿及儿童纺织产品安全技术规范</w:t>
      </w:r>
    </w:p>
    <w:p w14:paraId="2220C003">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jc w:val="left"/>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GB/T 3188</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8—2015  中小学生校服</w:t>
      </w:r>
    </w:p>
    <w:p w14:paraId="7EE8A6DA">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jc w:val="left"/>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GB/T 17592—2024  纺织品 禁用偶氮染料的测定</w:t>
      </w:r>
    </w:p>
    <w:p w14:paraId="499B37C5">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jc w:val="left"/>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GB/T 23344—2009</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纺织品　4-氨基偶氮苯的测定</w:t>
      </w:r>
    </w:p>
    <w:p w14:paraId="06F0384F">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jc w:val="left"/>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GB/T29862-2013</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纺织品纤维含量标识</w:t>
      </w:r>
    </w:p>
    <w:p w14:paraId="43C93287">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jc w:val="left"/>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FZ/T01057.2-4-2007</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纺织纤维鉴别方法</w:t>
      </w:r>
    </w:p>
    <w:p w14:paraId="512443C9">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jc w:val="left"/>
        <w:rPr>
          <w:rFonts w:hint="eastAsia" w:ascii="Times New Roman" w:hAnsi="Times New Roman" w:eastAsia="仿宋_GB2312" w:cs="Times New Roman"/>
          <w:color w:val="000000"/>
          <w:sz w:val="32"/>
          <w:szCs w:val="32"/>
          <w:shd w:val="clear" w:color="auto" w:fill="FFFFFF"/>
        </w:rPr>
      </w:pPr>
      <w:r>
        <w:rPr>
          <w:rFonts w:hint="eastAsia" w:ascii="Times New Roman" w:hAnsi="Times New Roman" w:eastAsia="仿宋_GB2312" w:cs="Times New Roman"/>
          <w:color w:val="000000"/>
          <w:sz w:val="32"/>
          <w:szCs w:val="32"/>
          <w:shd w:val="clear" w:color="auto" w:fill="FFFFFF"/>
        </w:rPr>
        <w:t>GB/T2910</w:t>
      </w:r>
      <w:r>
        <w:rPr>
          <w:rFonts w:hint="eastAsia" w:ascii="Times New Roman" w:hAnsi="Times New Roman" w:eastAsia="仿宋_GB2312" w:cs="Times New Roman"/>
          <w:color w:val="000000"/>
          <w:sz w:val="32"/>
          <w:szCs w:val="32"/>
          <w:shd w:val="clear" w:color="auto" w:fill="FFFFFF"/>
          <w:lang w:val="en-US" w:eastAsia="zh-CN"/>
        </w:rPr>
        <w:t xml:space="preserve">（适用部分）  </w:t>
      </w:r>
      <w:r>
        <w:rPr>
          <w:rFonts w:hint="eastAsia" w:ascii="Times New Roman" w:hAnsi="Times New Roman" w:eastAsia="仿宋_GB2312" w:cs="Times New Roman"/>
          <w:color w:val="000000"/>
          <w:sz w:val="32"/>
          <w:szCs w:val="32"/>
          <w:shd w:val="clear" w:color="auto" w:fill="FFFFFF"/>
        </w:rPr>
        <w:t>纺织品定量化学分析</w:t>
      </w:r>
    </w:p>
    <w:p w14:paraId="23D5F0C3">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jc w:val="left"/>
        <w:rPr>
          <w:rFonts w:hint="eastAsia"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GB/T 3</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8015</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—20</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 xml:space="preserve">19   </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纺织</w:t>
      </w:r>
      <w:r>
        <w:rPr>
          <w:rFonts w:hint="eastAsia"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品</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定量化学分析</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氨纶</w:t>
      </w:r>
      <w:r>
        <w:rPr>
          <w:rFonts w:hint="eastAsia"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与某些其他纤维的混合物</w:t>
      </w:r>
    </w:p>
    <w:p w14:paraId="6228D38E">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jc w:val="left"/>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GB/T2912.1-2009  纺织品 甲醛的测定 第一部分：游离和水解的甲醛（水萃取法）</w:t>
      </w:r>
    </w:p>
    <w:p w14:paraId="5F43DC5E">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jc w:val="left"/>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GB/T7573-2009</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纺织品 水萃取液pH值的测定</w:t>
      </w:r>
    </w:p>
    <w:p w14:paraId="18F23700">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jc w:val="left"/>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GB/T3920-2008</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纺织品 色牢度试验 耐摩擦色牢度  </w:t>
      </w:r>
    </w:p>
    <w:p w14:paraId="546E16EA">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jc w:val="left"/>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GB/T3922-2013</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纺织品 色牢度试验 耐汗渍色牢度 </w:t>
      </w:r>
    </w:p>
    <w:p w14:paraId="07A1DBC3">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jc w:val="left"/>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GB/T5713-2013</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纺织品 色牢度试验 耐水色牢度</w:t>
      </w:r>
    </w:p>
    <w:p w14:paraId="0B2306BC">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jc w:val="left"/>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GB/T3921-2008</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纺织品 色牢度试验 耐皂洗色牢度</w:t>
      </w:r>
    </w:p>
    <w:p w14:paraId="1D7EA7DB">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jc w:val="left"/>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执行企业标准、团体标准、地方标准的产品，检验项目参照上述内容执行。</w:t>
      </w:r>
    </w:p>
    <w:p w14:paraId="6685BA31">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rPr>
          <w:rFonts w:hint="eastAsia" w:ascii="Times New Roman" w:hAnsi="Times New Roman" w:eastAsia="黑体"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黑体" w:cs="Times New Roman"/>
          <w:color w:val="000000" w:themeColor="text1"/>
          <w:sz w:val="32"/>
          <w:szCs w:val="32"/>
          <w:shd w:val="clear" w:color="auto" w:fill="FFFFFF"/>
          <w14:textFill>
            <w14:solidFill>
              <w14:schemeClr w14:val="tx1"/>
            </w14:solidFill>
          </w14:textFill>
        </w:rPr>
        <w:t>5. 抽样</w:t>
      </w:r>
    </w:p>
    <w:p w14:paraId="527C7E45">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jc w:val="left"/>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5.1抽样型号或规格</w:t>
      </w:r>
    </w:p>
    <w:p w14:paraId="4D0A8E35">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jc w:val="left"/>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根据产品的销售单元（件、条、套）抽取相同款式（货</w:t>
      </w:r>
    </w:p>
    <w:p w14:paraId="5660E126">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left"/>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pPr>
      <w:bookmarkStart w:id="0" w:name="_GoBack"/>
      <w:bookmarkEnd w:id="0"/>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号或款号）、相同花型和相同颜色的同一批次的产品。</w:t>
      </w:r>
    </w:p>
    <w:p w14:paraId="29F811FA">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jc w:val="left"/>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5.2抽样方法、基数及数量</w:t>
      </w:r>
    </w:p>
    <w:p w14:paraId="5E7C3857">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jc w:val="left"/>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5.2.1抽样方法</w:t>
      </w:r>
    </w:p>
    <w:p w14:paraId="4C76059B">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jc w:val="left"/>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以随机抽样的方式在被抽样生产者、销售者的待销产品中抽取。</w:t>
      </w:r>
    </w:p>
    <w:p w14:paraId="1D5A42BF">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jc w:val="left"/>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随机数一般可使用随机数表等方法产生。</w:t>
      </w:r>
    </w:p>
    <w:p w14:paraId="7D26BA89">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jc w:val="left"/>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5.2.2抽样基数</w:t>
      </w:r>
    </w:p>
    <w:p w14:paraId="26945CA5">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jc w:val="left"/>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在生产企业抽样时，抽样基数应不低于10件/条。</w:t>
      </w:r>
    </w:p>
    <w:p w14:paraId="38EDC04C">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jc w:val="left"/>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5.2.3抽样数量</w:t>
      </w:r>
    </w:p>
    <w:p w14:paraId="065B143A">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jc w:val="left"/>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根据本细则规定的检验要求，抽样数量见表1。</w:t>
      </w:r>
    </w:p>
    <w:p w14:paraId="09609C54">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jc w:val="cente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表1抽样数量</w:t>
      </w:r>
    </w:p>
    <w:tbl>
      <w:tblPr>
        <w:tblStyle w:val="4"/>
        <w:tblW w:w="9322"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2628"/>
        <w:gridCol w:w="2340"/>
        <w:gridCol w:w="2160"/>
        <w:gridCol w:w="2194"/>
      </w:tblGrid>
      <w:tr w14:paraId="1AA5080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26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4D805EA">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jc w:val="left"/>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产品</w:t>
            </w:r>
          </w:p>
        </w:tc>
        <w:tc>
          <w:tcPr>
            <w:tcW w:w="234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DAD6528">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jc w:val="left"/>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抽样数量</w:t>
            </w:r>
          </w:p>
        </w:tc>
        <w:tc>
          <w:tcPr>
            <w:tcW w:w="216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351FAB4">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jc w:val="left"/>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检验样数量</w:t>
            </w:r>
          </w:p>
        </w:tc>
        <w:tc>
          <w:tcPr>
            <w:tcW w:w="2194"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0A6484B">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jc w:val="left"/>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备样数量</w:t>
            </w:r>
          </w:p>
        </w:tc>
      </w:tr>
      <w:tr w14:paraId="06B2C71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262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A98E798">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left"/>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中小学生校服（包括校服夏装、春秋装、冬装）</w:t>
            </w:r>
          </w:p>
        </w:tc>
        <w:tc>
          <w:tcPr>
            <w:tcW w:w="234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CBDCE4C">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left"/>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2</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（件、条、套）</w:t>
            </w:r>
          </w:p>
        </w:tc>
        <w:tc>
          <w:tcPr>
            <w:tcW w:w="21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78743C6">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left"/>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1</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（件、条、套）</w:t>
            </w:r>
          </w:p>
        </w:tc>
        <w:tc>
          <w:tcPr>
            <w:tcW w:w="219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3FC11FD">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left"/>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1</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（件、条、套）</w:t>
            </w:r>
          </w:p>
        </w:tc>
      </w:tr>
    </w:tbl>
    <w:p w14:paraId="7DC8564F">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jc w:val="left"/>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注：如样品过小，可适当增加抽样数量，但不得超过检验的合理需要。</w:t>
      </w:r>
    </w:p>
    <w:p w14:paraId="574BE481">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jc w:val="left"/>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5.3样品处置对所抽样品均应进行编号标识，标识内容包括企业名称、抽样单编号-阿拉伯数字顺序号，标识应具有唯一性。样品用塑料袋或编织袋包裹、胶带密封。样品及抽样单内容经生产(受检)单位代表确认无误后，由抽样人员与生产(受检)单位代表在抽样单上签字、盖章，当场封存样品，加贴封条，封条上应有抽样人员签名、抽样单位盖章、抽样日期。</w:t>
      </w:r>
    </w:p>
    <w:p w14:paraId="7702FF33">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jc w:val="left"/>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检验样品及备用样品由抽样人员送交伊犁州纤维检验所。样品送达后，由检验机构负责样品接收的人员和抽样人在打开包装后检查样品外观状态、封样单的完整等情况，确认样品与抽样单中的记录是否相符。对检测和备用样品分别作出唯一标识后入库。应当对检验样品和备用样品分别签封。样品储存条件应满足产品标准的规定要求。</w:t>
      </w:r>
    </w:p>
    <w:p w14:paraId="676579F7">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jc w:val="left"/>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5.4抽样过程中需注意的问题</w:t>
      </w:r>
    </w:p>
    <w:p w14:paraId="782407AF">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jc w:val="left"/>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5.4.1抽样要求</w:t>
      </w:r>
    </w:p>
    <w:p w14:paraId="421B5B17">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jc w:val="left"/>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5.4.1.1抽样人员为承担监督抽查的部门或经过授权的检验机构工作人员，人数不少于2人。</w:t>
      </w:r>
    </w:p>
    <w:p w14:paraId="76B7BAF5">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jc w:val="left"/>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5.4.1.2商品的标签、说明书等内容要完整，标有“试制”、“处理"等字样的，不得抽样。</w:t>
      </w:r>
    </w:p>
    <w:p w14:paraId="3591E0E1">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jc w:val="left"/>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5.4.2抽取的样品用塑料袋避光封存，防止样品在运输、储藏过程中发生丢失、污染和潮湿。样品送达检验机构，及时安排检验。</w:t>
      </w:r>
    </w:p>
    <w:p w14:paraId="3ACBF20C">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jc w:val="left"/>
        <w:rPr>
          <w:rFonts w:hint="eastAsia" w:ascii="仿宋_GB2312" w:hAnsi="inherit" w:eastAsia="仿宋_GB2312"/>
          <w:color w:val="000000"/>
          <w:kern w:val="0"/>
          <w:sz w:val="32"/>
          <w:szCs w:val="32"/>
        </w:rPr>
      </w:pP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5.4.3检验样品及备用(复检)样品应分别封存，备样封存在检验</w:t>
      </w:r>
      <w:r>
        <w:rPr>
          <w:rFonts w:hint="eastAsia" w:ascii="仿宋_GB2312" w:hAnsi="inherit" w:eastAsia="仿宋_GB2312"/>
          <w:color w:val="000000"/>
          <w:kern w:val="0"/>
          <w:sz w:val="32"/>
          <w:szCs w:val="32"/>
        </w:rPr>
        <w:t>机构。</w:t>
      </w:r>
    </w:p>
    <w:p w14:paraId="71A3B122">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jc w:val="left"/>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5.4.4出现样品封样及密封状态被破坏、样品异常损坏等现象，无法正常进行下一步有关项目检验和判定时，应重新抽样。必要时应采集并保存影像记录。</w:t>
      </w:r>
    </w:p>
    <w:p w14:paraId="65C663B1">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jc w:val="left"/>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5.4.5对拒检单位按规定做好记录。</w:t>
      </w:r>
    </w:p>
    <w:p w14:paraId="6156DAE1">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jc w:val="left"/>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5.5抽样单</w:t>
      </w:r>
    </w:p>
    <w:p w14:paraId="06B54981">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jc w:val="left"/>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应按有关规定填写抽样单，并记录被抽查产品及生产企业相关信息。同时记录被抽查企业上一年度生产的中小学生校服产品销售总额，以万元计。若企业上一年度未生产，则记录本年度生产此类产品的销售总额，并予以备注。如果样品标注的信息不全，必须在抽样单上确认该产品的基本安全类别和纤维成分含量，或由生产企业提供经加盖公章的书面确认书。</w:t>
      </w:r>
    </w:p>
    <w:p w14:paraId="310BFC7C">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jc w:val="left"/>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5.5.1对生产企业进行确定</w:t>
      </w:r>
    </w:p>
    <w:p w14:paraId="18D702C2">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jc w:val="left"/>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在抽取样品时，抽样部门要确认被抽检单位和产品的相关信息。</w:t>
      </w:r>
    </w:p>
    <w:p w14:paraId="41B148B1">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rPr>
          <w:rFonts w:hint="eastAsia" w:ascii="Times New Roman" w:hAnsi="Times New Roman" w:eastAsia="黑体"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黑体" w:cs="Times New Roman"/>
          <w:color w:val="000000" w:themeColor="text1"/>
          <w:sz w:val="32"/>
          <w:szCs w:val="32"/>
          <w:shd w:val="clear" w:color="auto" w:fill="FFFFFF"/>
          <w14:textFill>
            <w14:solidFill>
              <w14:schemeClr w14:val="tx1"/>
            </w14:solidFill>
          </w14:textFill>
        </w:rPr>
        <w:t>6. 检验要求</w:t>
      </w:r>
    </w:p>
    <w:p w14:paraId="1F60ACC3">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jc w:val="left"/>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6.1校服检验项目见表2。</w:t>
      </w:r>
    </w:p>
    <w:p w14:paraId="6882F9D6">
      <w:pPr>
        <w:widowControl/>
        <w:shd w:val="clear" w:color="auto" w:fill="FFFFFF"/>
        <w:spacing w:line="570" w:lineRule="atLeast"/>
        <w:ind w:firstLine="640"/>
        <w:jc w:val="left"/>
        <w:textAlignment w:val="baseline"/>
        <w:rPr>
          <w:rFonts w:ascii="仿宋_GB2312" w:hAnsi="inherit" w:eastAsia="仿宋_GB2312"/>
          <w:b/>
          <w:bCs/>
          <w:color w:val="000000"/>
          <w:kern w:val="0"/>
          <w:sz w:val="32"/>
          <w:szCs w:val="32"/>
        </w:rPr>
      </w:pPr>
      <w:r>
        <w:rPr>
          <w:rFonts w:hint="eastAsia" w:ascii="仿宋_GB2312" w:hAnsi="inherit" w:eastAsia="仿宋_GB2312"/>
          <w:color w:val="000000"/>
          <w:kern w:val="0"/>
          <w:sz w:val="32"/>
          <w:szCs w:val="32"/>
        </w:rPr>
        <w:t> </w:t>
      </w:r>
      <w:r>
        <w:rPr>
          <w:rFonts w:hint="eastAsia" w:ascii="仿宋_GB2312" w:hAnsi="inherit" w:eastAsia="仿宋_GB2312"/>
          <w:b/>
          <w:bCs/>
          <w:color w:val="000000"/>
          <w:kern w:val="0"/>
          <w:sz w:val="32"/>
          <w:szCs w:val="32"/>
        </w:rPr>
        <w:t>表</w:t>
      </w:r>
      <w:r>
        <w:rPr>
          <w:rFonts w:ascii="仿宋_GB2312" w:hAnsi="inherit" w:eastAsia="仿宋_GB2312"/>
          <w:b/>
          <w:bCs/>
          <w:color w:val="000000"/>
          <w:kern w:val="0"/>
          <w:sz w:val="32"/>
          <w:szCs w:val="32"/>
        </w:rPr>
        <w:t>2</w:t>
      </w:r>
      <w:r>
        <w:rPr>
          <w:rFonts w:hint="eastAsia" w:ascii="仿宋_GB2312" w:hAnsi="inherit" w:eastAsia="仿宋_GB2312"/>
          <w:b/>
          <w:bCs/>
          <w:color w:val="000000"/>
          <w:kern w:val="0"/>
          <w:sz w:val="32"/>
          <w:szCs w:val="32"/>
        </w:rPr>
        <w:t>校服检验项目</w:t>
      </w:r>
    </w:p>
    <w:tbl>
      <w:tblPr>
        <w:tblStyle w:val="4"/>
        <w:tblW w:w="9064" w:type="dxa"/>
        <w:tblInd w:w="135"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697"/>
        <w:gridCol w:w="1805"/>
        <w:gridCol w:w="2305"/>
        <w:gridCol w:w="1363"/>
        <w:gridCol w:w="2894"/>
      </w:tblGrid>
      <w:tr w14:paraId="0380E89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9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F98D5F2">
            <w:pPr>
              <w:pStyle w:val="3"/>
              <w:widowControl/>
              <w:spacing w:beforeAutospacing="0" w:afterAutospacing="0" w:line="480" w:lineRule="atLeast"/>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序号</w:t>
            </w:r>
          </w:p>
        </w:tc>
        <w:tc>
          <w:tcPr>
            <w:tcW w:w="180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478EBD7">
            <w:pPr>
              <w:pStyle w:val="3"/>
              <w:widowControl/>
              <w:spacing w:beforeAutospacing="0" w:afterAutospacing="0" w:line="480" w:lineRule="atLeast"/>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检验项目</w:t>
            </w:r>
          </w:p>
        </w:tc>
        <w:tc>
          <w:tcPr>
            <w:tcW w:w="230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AD87B94">
            <w:pPr>
              <w:pStyle w:val="3"/>
              <w:widowControl/>
              <w:spacing w:beforeAutospacing="0" w:afterAutospacing="0" w:line="480" w:lineRule="atLeast"/>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依据标准条款</w:t>
            </w:r>
          </w:p>
        </w:tc>
        <w:tc>
          <w:tcPr>
            <w:tcW w:w="136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F673979">
            <w:pPr>
              <w:pStyle w:val="3"/>
              <w:widowControl/>
              <w:spacing w:beforeAutospacing="0" w:afterAutospacing="0" w:line="480" w:lineRule="atLeast"/>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强制性/推荐性</w:t>
            </w:r>
          </w:p>
        </w:tc>
        <w:tc>
          <w:tcPr>
            <w:tcW w:w="2894"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84E90AE">
            <w:pPr>
              <w:pStyle w:val="3"/>
              <w:widowControl/>
              <w:spacing w:beforeAutospacing="0" w:afterAutospacing="0" w:line="480" w:lineRule="atLeast"/>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检验方法标准</w:t>
            </w:r>
          </w:p>
        </w:tc>
      </w:tr>
      <w:tr w14:paraId="021ACBD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9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FA08083">
            <w:pPr>
              <w:pStyle w:val="3"/>
              <w:widowControl/>
              <w:spacing w:beforeAutospacing="0" w:afterAutospacing="0" w:line="480" w:lineRule="atLeast"/>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rPr>
              <w:t>1</w:t>
            </w:r>
          </w:p>
        </w:tc>
        <w:tc>
          <w:tcPr>
            <w:tcW w:w="180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C01396A">
            <w:pPr>
              <w:pStyle w:val="3"/>
              <w:widowControl/>
              <w:spacing w:beforeAutospacing="0" w:afterAutospacing="0" w:line="480" w:lineRule="atLeast"/>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异味</w:t>
            </w:r>
          </w:p>
        </w:tc>
        <w:tc>
          <w:tcPr>
            <w:tcW w:w="230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54A00CA">
            <w:pPr>
              <w:pStyle w:val="3"/>
              <w:widowControl/>
              <w:spacing w:beforeAutospacing="0" w:afterAutospacing="0" w:line="480" w:lineRule="atLeas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GB/T31888-2015</w:t>
            </w:r>
          </w:p>
        </w:tc>
        <w:tc>
          <w:tcPr>
            <w:tcW w:w="136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9BCC5AB">
            <w:pPr>
              <w:pStyle w:val="3"/>
              <w:widowControl/>
              <w:spacing w:beforeAutospacing="0" w:afterAutospacing="0" w:line="480" w:lineRule="atLeast"/>
              <w:jc w:val="center"/>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强制性</w:t>
            </w:r>
          </w:p>
        </w:tc>
        <w:tc>
          <w:tcPr>
            <w:tcW w:w="2894"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2BBCAB9">
            <w:pPr>
              <w:pStyle w:val="3"/>
              <w:widowControl/>
              <w:spacing w:beforeAutospacing="0" w:afterAutospacing="0" w:line="480" w:lineRule="atLeast"/>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GB 18401—2010 </w:t>
            </w:r>
          </w:p>
        </w:tc>
      </w:tr>
      <w:tr w14:paraId="33397ED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9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3F543C5">
            <w:pPr>
              <w:pStyle w:val="3"/>
              <w:widowControl/>
              <w:spacing w:beforeAutospacing="0" w:afterAutospacing="0" w:line="480" w:lineRule="atLeast"/>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rPr>
              <w:t>2</w:t>
            </w:r>
          </w:p>
        </w:tc>
        <w:tc>
          <w:tcPr>
            <w:tcW w:w="18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D14EDF1">
            <w:pPr>
              <w:pStyle w:val="3"/>
              <w:widowControl/>
              <w:spacing w:beforeAutospacing="0" w:afterAutospacing="0" w:line="480" w:lineRule="atLeas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纤维含量</w:t>
            </w:r>
          </w:p>
        </w:tc>
        <w:tc>
          <w:tcPr>
            <w:tcW w:w="23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17EF7F2">
            <w:pPr>
              <w:pStyle w:val="3"/>
              <w:widowControl/>
              <w:spacing w:beforeAutospacing="0" w:afterAutospacing="0" w:line="480" w:lineRule="atLeas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GB/T31888-2015</w:t>
            </w:r>
          </w:p>
        </w:tc>
        <w:tc>
          <w:tcPr>
            <w:tcW w:w="13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DBADCA4">
            <w:pPr>
              <w:pStyle w:val="3"/>
              <w:widowControl/>
              <w:spacing w:beforeAutospacing="0" w:afterAutospacing="0" w:line="480" w:lineRule="atLeas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推荐性</w:t>
            </w:r>
          </w:p>
        </w:tc>
        <w:tc>
          <w:tcPr>
            <w:tcW w:w="289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4D3B859">
            <w:pPr>
              <w:pStyle w:val="3"/>
              <w:widowControl/>
              <w:spacing w:beforeAutospacing="0" w:afterAutospacing="0" w:line="480" w:lineRule="atLeast"/>
              <w:jc w:val="lef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FZ/T 01057（适用部分）</w:t>
            </w:r>
          </w:p>
          <w:p w14:paraId="58436865">
            <w:pPr>
              <w:pStyle w:val="3"/>
              <w:widowControl/>
              <w:spacing w:beforeAutospacing="0" w:afterAutospacing="0" w:line="480" w:lineRule="atLeast"/>
              <w:jc w:val="lef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GB/T 2910（适用部分）</w:t>
            </w:r>
          </w:p>
          <w:p w14:paraId="03136933">
            <w:pPr>
              <w:pStyle w:val="3"/>
              <w:widowControl/>
              <w:spacing w:beforeAutospacing="0" w:afterAutospacing="0" w:line="480" w:lineRule="atLeast"/>
              <w:jc w:val="lef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FZ/T 01026—2017</w:t>
            </w:r>
          </w:p>
          <w:p w14:paraId="6EC9F4F7">
            <w:pPr>
              <w:pStyle w:val="3"/>
              <w:widowControl/>
              <w:spacing w:beforeAutospacing="0" w:afterAutospacing="0" w:line="480" w:lineRule="atLeast"/>
              <w:jc w:val="lef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GB/T 38015—2019</w:t>
            </w:r>
          </w:p>
          <w:p w14:paraId="15E8AA17">
            <w:pPr>
              <w:pStyle w:val="3"/>
              <w:widowControl/>
              <w:spacing w:beforeAutospacing="0" w:afterAutospacing="0" w:line="480" w:lineRule="atLeast"/>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GB/T29862-2013</w:t>
            </w:r>
            <w:r>
              <w:rPr>
                <w:rFonts w:hint="eastAsia" w:ascii="仿宋_GB2312" w:hAnsi="仿宋_GB2312" w:eastAsia="仿宋_GB2312" w:cs="仿宋_GB2312"/>
                <w:b w:val="0"/>
                <w:bCs w:val="0"/>
                <w:sz w:val="28"/>
                <w:szCs w:val="28"/>
                <w:lang w:val="en-US" w:eastAsia="zh-CN"/>
              </w:rPr>
              <w:t>等</w:t>
            </w:r>
          </w:p>
        </w:tc>
      </w:tr>
      <w:tr w14:paraId="0975055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75" w:hRule="atLeast"/>
        </w:trPr>
        <w:tc>
          <w:tcPr>
            <w:tcW w:w="69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394D3BB">
            <w:pPr>
              <w:pStyle w:val="3"/>
              <w:widowControl/>
              <w:spacing w:beforeAutospacing="0" w:afterAutospacing="0" w:line="480" w:lineRule="atLeast"/>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rPr>
              <w:t>3</w:t>
            </w:r>
          </w:p>
        </w:tc>
        <w:tc>
          <w:tcPr>
            <w:tcW w:w="18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D6D2B15">
            <w:pPr>
              <w:pStyle w:val="3"/>
              <w:widowControl/>
              <w:spacing w:beforeAutospacing="0" w:afterAutospacing="0" w:line="480" w:lineRule="atLeas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甲醛含量</w:t>
            </w:r>
          </w:p>
        </w:tc>
        <w:tc>
          <w:tcPr>
            <w:tcW w:w="23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9C23A49">
            <w:pPr>
              <w:pStyle w:val="3"/>
              <w:widowControl/>
              <w:spacing w:beforeAutospacing="0" w:afterAutospacing="0" w:line="480" w:lineRule="atLeas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GB/T31888-2015</w:t>
            </w:r>
          </w:p>
        </w:tc>
        <w:tc>
          <w:tcPr>
            <w:tcW w:w="13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745CB75">
            <w:pPr>
              <w:pStyle w:val="3"/>
              <w:widowControl/>
              <w:spacing w:beforeAutospacing="0" w:afterAutospacing="0" w:line="480" w:lineRule="atLeas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推荐性</w:t>
            </w:r>
          </w:p>
        </w:tc>
        <w:tc>
          <w:tcPr>
            <w:tcW w:w="289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7BD3681">
            <w:pPr>
              <w:pStyle w:val="3"/>
              <w:widowControl/>
              <w:spacing w:beforeAutospacing="0" w:afterAutospacing="0" w:line="480" w:lineRule="atLeast"/>
              <w:jc w:val="both"/>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GB/2912.1-2009</w:t>
            </w:r>
          </w:p>
        </w:tc>
      </w:tr>
      <w:tr w14:paraId="4841CDF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75" w:hRule="atLeast"/>
        </w:trPr>
        <w:tc>
          <w:tcPr>
            <w:tcW w:w="69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CA9189B">
            <w:pPr>
              <w:pStyle w:val="3"/>
              <w:widowControl/>
              <w:spacing w:beforeAutospacing="0" w:afterAutospacing="0" w:line="480" w:lineRule="atLeast"/>
              <w:jc w:val="center"/>
              <w:rPr>
                <w:rFonts w:hint="eastAsia"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sz w:val="28"/>
                <w:szCs w:val="28"/>
              </w:rPr>
              <w:t>4</w:t>
            </w:r>
          </w:p>
        </w:tc>
        <w:tc>
          <w:tcPr>
            <w:tcW w:w="18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F4694FC">
            <w:pPr>
              <w:pStyle w:val="3"/>
              <w:widowControl/>
              <w:spacing w:beforeAutospacing="0" w:afterAutospacing="0" w:line="480" w:lineRule="atLeast"/>
              <w:jc w:val="center"/>
              <w:rPr>
                <w:rFonts w:hint="eastAsia"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sz w:val="28"/>
                <w:szCs w:val="28"/>
              </w:rPr>
              <w:t>pH值</w:t>
            </w:r>
          </w:p>
        </w:tc>
        <w:tc>
          <w:tcPr>
            <w:tcW w:w="23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08BEF4E">
            <w:pPr>
              <w:pStyle w:val="3"/>
              <w:widowControl/>
              <w:spacing w:beforeAutospacing="0" w:afterAutospacing="0" w:line="480" w:lineRule="atLeast"/>
              <w:jc w:val="center"/>
              <w:rPr>
                <w:rFonts w:hint="eastAsia"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sz w:val="28"/>
                <w:szCs w:val="28"/>
              </w:rPr>
              <w:t>GB/T31888-2015</w:t>
            </w:r>
          </w:p>
        </w:tc>
        <w:tc>
          <w:tcPr>
            <w:tcW w:w="13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F8C55BC">
            <w:pPr>
              <w:pStyle w:val="3"/>
              <w:widowControl/>
              <w:spacing w:beforeAutospacing="0" w:afterAutospacing="0" w:line="480" w:lineRule="atLeast"/>
              <w:jc w:val="center"/>
              <w:rPr>
                <w:rFonts w:hint="eastAsia"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sz w:val="28"/>
                <w:szCs w:val="28"/>
              </w:rPr>
              <w:t>推荐性</w:t>
            </w:r>
          </w:p>
        </w:tc>
        <w:tc>
          <w:tcPr>
            <w:tcW w:w="289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A639FAE">
            <w:pPr>
              <w:pStyle w:val="3"/>
              <w:widowControl/>
              <w:spacing w:beforeAutospacing="0" w:afterAutospacing="0" w:line="480" w:lineRule="atLeast"/>
              <w:jc w:val="left"/>
              <w:rPr>
                <w:rFonts w:hint="eastAsia"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sz w:val="28"/>
                <w:szCs w:val="28"/>
              </w:rPr>
              <w:t>GB/T7573-2009</w:t>
            </w:r>
          </w:p>
        </w:tc>
      </w:tr>
      <w:tr w14:paraId="717303E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9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5F0431B">
            <w:pPr>
              <w:pStyle w:val="3"/>
              <w:widowControl/>
              <w:spacing w:beforeAutospacing="0" w:afterAutospacing="0" w:line="480" w:lineRule="atLeast"/>
              <w:jc w:val="center"/>
              <w:rPr>
                <w:rFonts w:hint="eastAsia"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sz w:val="28"/>
                <w:szCs w:val="28"/>
              </w:rPr>
              <w:t>5</w:t>
            </w:r>
          </w:p>
        </w:tc>
        <w:tc>
          <w:tcPr>
            <w:tcW w:w="18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4A7D510">
            <w:pPr>
              <w:pStyle w:val="3"/>
              <w:widowControl/>
              <w:spacing w:beforeAutospacing="0" w:afterAutospacing="0" w:line="480" w:lineRule="atLeas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可分解致癌芳香胺染料</w:t>
            </w:r>
          </w:p>
        </w:tc>
        <w:tc>
          <w:tcPr>
            <w:tcW w:w="23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683BF7E">
            <w:pPr>
              <w:pStyle w:val="3"/>
              <w:widowControl/>
              <w:spacing w:beforeAutospacing="0" w:afterAutospacing="0" w:line="480" w:lineRule="atLeas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GB/T31888-2015</w:t>
            </w:r>
          </w:p>
        </w:tc>
        <w:tc>
          <w:tcPr>
            <w:tcW w:w="13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C026E87">
            <w:pPr>
              <w:pStyle w:val="3"/>
              <w:widowControl/>
              <w:spacing w:beforeAutospacing="0" w:afterAutospacing="0" w:line="480" w:lineRule="atLeas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推荐性</w:t>
            </w:r>
          </w:p>
        </w:tc>
        <w:tc>
          <w:tcPr>
            <w:tcW w:w="289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EAD258F">
            <w:pPr>
              <w:pStyle w:val="3"/>
              <w:widowControl/>
              <w:spacing w:beforeAutospacing="0" w:afterAutospacing="0" w:line="480" w:lineRule="atLeast"/>
              <w:jc w:val="both"/>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GB/T 17592—2024</w:t>
            </w:r>
          </w:p>
          <w:p w14:paraId="7A805255">
            <w:pPr>
              <w:pStyle w:val="3"/>
              <w:widowControl/>
              <w:spacing w:beforeAutospacing="0" w:afterAutospacing="0" w:line="480" w:lineRule="atLeast"/>
              <w:jc w:val="both"/>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GB/T 23344—2009</w:t>
            </w:r>
          </w:p>
        </w:tc>
      </w:tr>
      <w:tr w14:paraId="2414355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9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A948F89">
            <w:pPr>
              <w:pStyle w:val="3"/>
              <w:widowControl/>
              <w:spacing w:beforeAutospacing="0" w:afterAutospacing="0" w:line="480" w:lineRule="atLeast"/>
              <w:jc w:val="center"/>
              <w:rPr>
                <w:rFonts w:hint="eastAsia"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sz w:val="28"/>
                <w:szCs w:val="28"/>
              </w:rPr>
              <w:t>6</w:t>
            </w:r>
          </w:p>
        </w:tc>
        <w:tc>
          <w:tcPr>
            <w:tcW w:w="18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33EF0E0">
            <w:pPr>
              <w:pStyle w:val="3"/>
              <w:widowControl/>
              <w:spacing w:beforeAutospacing="0" w:afterAutospacing="0" w:line="480" w:lineRule="atLeas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耐干摩擦色牢度</w:t>
            </w:r>
          </w:p>
        </w:tc>
        <w:tc>
          <w:tcPr>
            <w:tcW w:w="23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3F16D99">
            <w:pPr>
              <w:pStyle w:val="3"/>
              <w:widowControl/>
              <w:spacing w:beforeAutospacing="0" w:afterAutospacing="0" w:line="480" w:lineRule="atLeas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GB/T31888-2015</w:t>
            </w:r>
          </w:p>
        </w:tc>
        <w:tc>
          <w:tcPr>
            <w:tcW w:w="13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964071A">
            <w:pPr>
              <w:pStyle w:val="3"/>
              <w:widowControl/>
              <w:spacing w:beforeAutospacing="0" w:afterAutospacing="0" w:line="480" w:lineRule="atLeas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推荐性</w:t>
            </w:r>
          </w:p>
        </w:tc>
        <w:tc>
          <w:tcPr>
            <w:tcW w:w="289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F64DD85">
            <w:pPr>
              <w:pStyle w:val="3"/>
              <w:widowControl/>
              <w:spacing w:beforeAutospacing="0" w:afterAutospacing="0" w:line="480" w:lineRule="atLeast"/>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GB/T3920-2008</w:t>
            </w:r>
          </w:p>
        </w:tc>
      </w:tr>
      <w:tr w14:paraId="5FEF980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9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67149EA">
            <w:pPr>
              <w:pStyle w:val="3"/>
              <w:widowControl/>
              <w:spacing w:beforeAutospacing="0" w:afterAutospacing="0" w:line="480" w:lineRule="atLeast"/>
              <w:jc w:val="center"/>
              <w:rPr>
                <w:rFonts w:hint="eastAsia"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sz w:val="28"/>
                <w:szCs w:val="28"/>
              </w:rPr>
              <w:t>7</w:t>
            </w:r>
          </w:p>
        </w:tc>
        <w:tc>
          <w:tcPr>
            <w:tcW w:w="18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7ACA776">
            <w:pPr>
              <w:pStyle w:val="3"/>
              <w:widowControl/>
              <w:spacing w:beforeAutospacing="0" w:afterAutospacing="0" w:line="480" w:lineRule="atLeas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耐湿摩擦色牢度</w:t>
            </w:r>
          </w:p>
        </w:tc>
        <w:tc>
          <w:tcPr>
            <w:tcW w:w="23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6F356AA">
            <w:pPr>
              <w:pStyle w:val="3"/>
              <w:widowControl/>
              <w:spacing w:beforeAutospacing="0" w:afterAutospacing="0" w:line="480" w:lineRule="atLeas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GB/T31888-2015</w:t>
            </w:r>
          </w:p>
        </w:tc>
        <w:tc>
          <w:tcPr>
            <w:tcW w:w="13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0DE1F03">
            <w:pPr>
              <w:pStyle w:val="3"/>
              <w:widowControl/>
              <w:spacing w:beforeAutospacing="0" w:afterAutospacing="0" w:line="480" w:lineRule="atLeas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推荐性</w:t>
            </w:r>
          </w:p>
        </w:tc>
        <w:tc>
          <w:tcPr>
            <w:tcW w:w="289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5E34DB2">
            <w:pPr>
              <w:pStyle w:val="3"/>
              <w:widowControl/>
              <w:spacing w:beforeAutospacing="0" w:afterAutospacing="0" w:line="480" w:lineRule="atLeast"/>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GB/T3920-2008</w:t>
            </w:r>
          </w:p>
        </w:tc>
      </w:tr>
      <w:tr w14:paraId="203434E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9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03626F6">
            <w:pPr>
              <w:pStyle w:val="3"/>
              <w:widowControl/>
              <w:spacing w:beforeAutospacing="0" w:afterAutospacing="0" w:line="480" w:lineRule="atLeast"/>
              <w:jc w:val="center"/>
              <w:rPr>
                <w:rFonts w:hint="eastAsia"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sz w:val="28"/>
                <w:szCs w:val="28"/>
                <w:lang w:val="en-US" w:eastAsia="zh-CN"/>
              </w:rPr>
              <w:t>8</w:t>
            </w:r>
          </w:p>
        </w:tc>
        <w:tc>
          <w:tcPr>
            <w:tcW w:w="18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E8A943C">
            <w:pPr>
              <w:pStyle w:val="3"/>
              <w:widowControl/>
              <w:spacing w:beforeAutospacing="0" w:afterAutospacing="0" w:line="480" w:lineRule="atLeas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耐酸汗渍色牢度</w:t>
            </w:r>
          </w:p>
        </w:tc>
        <w:tc>
          <w:tcPr>
            <w:tcW w:w="23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6D7B4AF">
            <w:pPr>
              <w:pStyle w:val="3"/>
              <w:widowControl/>
              <w:spacing w:beforeAutospacing="0" w:afterAutospacing="0" w:line="480" w:lineRule="atLeas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GB/T31888-2015</w:t>
            </w:r>
          </w:p>
        </w:tc>
        <w:tc>
          <w:tcPr>
            <w:tcW w:w="13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DEDF334">
            <w:pPr>
              <w:pStyle w:val="3"/>
              <w:widowControl/>
              <w:spacing w:beforeAutospacing="0" w:afterAutospacing="0" w:line="480" w:lineRule="atLeas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推荐性</w:t>
            </w:r>
          </w:p>
        </w:tc>
        <w:tc>
          <w:tcPr>
            <w:tcW w:w="289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E96D791">
            <w:pPr>
              <w:pStyle w:val="3"/>
              <w:widowControl/>
              <w:spacing w:beforeAutospacing="0" w:afterAutospacing="0" w:line="480" w:lineRule="atLeast"/>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GB/T3922-2013</w:t>
            </w:r>
          </w:p>
        </w:tc>
      </w:tr>
      <w:tr w14:paraId="089EAEA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9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9C4B773">
            <w:pPr>
              <w:pStyle w:val="3"/>
              <w:widowControl/>
              <w:spacing w:beforeAutospacing="0" w:afterAutospacing="0" w:line="480" w:lineRule="atLeast"/>
              <w:jc w:val="center"/>
              <w:rPr>
                <w:rFonts w:hint="eastAsia"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sz w:val="28"/>
                <w:szCs w:val="28"/>
                <w:lang w:val="en-US" w:eastAsia="zh-CN"/>
              </w:rPr>
              <w:t>9</w:t>
            </w:r>
          </w:p>
        </w:tc>
        <w:tc>
          <w:tcPr>
            <w:tcW w:w="18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5041443">
            <w:pPr>
              <w:pStyle w:val="3"/>
              <w:widowControl/>
              <w:spacing w:beforeAutospacing="0" w:afterAutospacing="0" w:line="480" w:lineRule="atLeast"/>
              <w:jc w:val="center"/>
              <w:rPr>
                <w:rFonts w:hint="eastAsia"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sz w:val="28"/>
                <w:szCs w:val="28"/>
              </w:rPr>
              <w:t>耐碱汗渍色牢度</w:t>
            </w:r>
          </w:p>
        </w:tc>
        <w:tc>
          <w:tcPr>
            <w:tcW w:w="23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B426174">
            <w:pPr>
              <w:pStyle w:val="3"/>
              <w:widowControl/>
              <w:spacing w:beforeAutospacing="0" w:afterAutospacing="0" w:line="480" w:lineRule="atLeast"/>
              <w:jc w:val="center"/>
              <w:rPr>
                <w:rFonts w:hint="eastAsia"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sz w:val="28"/>
                <w:szCs w:val="28"/>
              </w:rPr>
              <w:t>GB/T31888-2015</w:t>
            </w:r>
          </w:p>
        </w:tc>
        <w:tc>
          <w:tcPr>
            <w:tcW w:w="13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EA3A7CD">
            <w:pPr>
              <w:pStyle w:val="3"/>
              <w:widowControl/>
              <w:spacing w:beforeAutospacing="0" w:afterAutospacing="0" w:line="480" w:lineRule="atLeast"/>
              <w:jc w:val="center"/>
              <w:rPr>
                <w:rFonts w:hint="eastAsia"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sz w:val="28"/>
                <w:szCs w:val="28"/>
              </w:rPr>
              <w:t>推荐性</w:t>
            </w:r>
          </w:p>
        </w:tc>
        <w:tc>
          <w:tcPr>
            <w:tcW w:w="289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AD1F879">
            <w:pPr>
              <w:pStyle w:val="3"/>
              <w:widowControl/>
              <w:spacing w:beforeAutospacing="0" w:afterAutospacing="0" w:line="480" w:lineRule="atLeast"/>
              <w:jc w:val="left"/>
              <w:rPr>
                <w:rFonts w:hint="eastAsia"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sz w:val="28"/>
                <w:szCs w:val="28"/>
              </w:rPr>
              <w:t>GB/T3922-2013</w:t>
            </w:r>
          </w:p>
        </w:tc>
      </w:tr>
      <w:tr w14:paraId="052AFD4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9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7AD091C">
            <w:pPr>
              <w:pStyle w:val="3"/>
              <w:widowControl/>
              <w:spacing w:beforeAutospacing="0" w:afterAutospacing="0" w:line="480" w:lineRule="atLeast"/>
              <w:jc w:val="center"/>
              <w:rPr>
                <w:rFonts w:hint="eastAsia"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sz w:val="28"/>
                <w:szCs w:val="28"/>
                <w:lang w:val="en-US" w:eastAsia="zh-CN"/>
              </w:rPr>
              <w:t>10</w:t>
            </w:r>
          </w:p>
        </w:tc>
        <w:tc>
          <w:tcPr>
            <w:tcW w:w="18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5373EA1">
            <w:pPr>
              <w:pStyle w:val="3"/>
              <w:widowControl/>
              <w:spacing w:beforeAutospacing="0" w:afterAutospacing="0" w:line="480" w:lineRule="atLeas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耐水色牢度</w:t>
            </w:r>
          </w:p>
        </w:tc>
        <w:tc>
          <w:tcPr>
            <w:tcW w:w="23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58D6F33">
            <w:pPr>
              <w:pStyle w:val="3"/>
              <w:widowControl/>
              <w:spacing w:beforeAutospacing="0" w:afterAutospacing="0" w:line="480" w:lineRule="atLeas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GB/T31888-2015</w:t>
            </w:r>
          </w:p>
        </w:tc>
        <w:tc>
          <w:tcPr>
            <w:tcW w:w="13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B54370F">
            <w:pPr>
              <w:pStyle w:val="3"/>
              <w:widowControl/>
              <w:spacing w:beforeAutospacing="0" w:afterAutospacing="0" w:line="480" w:lineRule="atLeas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推荐性</w:t>
            </w:r>
          </w:p>
        </w:tc>
        <w:tc>
          <w:tcPr>
            <w:tcW w:w="289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B4DF8C6">
            <w:pPr>
              <w:pStyle w:val="3"/>
              <w:widowControl/>
              <w:spacing w:beforeAutospacing="0" w:afterAutospacing="0" w:line="480" w:lineRule="atLeast"/>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GB/T5713-2013</w:t>
            </w:r>
          </w:p>
        </w:tc>
      </w:tr>
      <w:tr w14:paraId="7FE918B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9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21FFE50">
            <w:pPr>
              <w:pStyle w:val="3"/>
              <w:widowControl/>
              <w:spacing w:beforeAutospacing="0" w:afterAutospacing="0" w:line="480" w:lineRule="atLeast"/>
              <w:jc w:val="center"/>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11</w:t>
            </w:r>
          </w:p>
        </w:tc>
        <w:tc>
          <w:tcPr>
            <w:tcW w:w="18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11DBC09">
            <w:pPr>
              <w:pStyle w:val="3"/>
              <w:widowControl/>
              <w:spacing w:beforeAutospacing="0" w:afterAutospacing="0" w:line="480" w:lineRule="atLeas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耐皂洗色牢度</w:t>
            </w:r>
          </w:p>
        </w:tc>
        <w:tc>
          <w:tcPr>
            <w:tcW w:w="23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EA3BCE1">
            <w:pPr>
              <w:pStyle w:val="3"/>
              <w:widowControl/>
              <w:spacing w:beforeAutospacing="0" w:afterAutospacing="0" w:line="480" w:lineRule="atLeast"/>
              <w:jc w:val="center"/>
              <w:rPr>
                <w:rFonts w:hint="eastAsia"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sz w:val="28"/>
                <w:szCs w:val="28"/>
              </w:rPr>
              <w:t>GB/T31888-2015</w:t>
            </w:r>
          </w:p>
        </w:tc>
        <w:tc>
          <w:tcPr>
            <w:tcW w:w="13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96CC935">
            <w:pPr>
              <w:pStyle w:val="3"/>
              <w:widowControl/>
              <w:spacing w:beforeAutospacing="0" w:afterAutospacing="0" w:line="480" w:lineRule="atLeast"/>
              <w:jc w:val="center"/>
              <w:rPr>
                <w:rFonts w:hint="eastAsia"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sz w:val="28"/>
                <w:szCs w:val="28"/>
              </w:rPr>
              <w:t>推荐性</w:t>
            </w:r>
          </w:p>
        </w:tc>
        <w:tc>
          <w:tcPr>
            <w:tcW w:w="289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0AC38C1">
            <w:pPr>
              <w:pStyle w:val="3"/>
              <w:widowControl/>
              <w:spacing w:beforeAutospacing="0" w:afterAutospacing="0" w:line="480" w:lineRule="atLeast"/>
              <w:jc w:val="left"/>
              <w:rPr>
                <w:rFonts w:hint="eastAsia" w:ascii="仿宋_GB2312" w:hAnsi="仿宋_GB2312" w:eastAsia="仿宋_GB2312" w:cs="仿宋_GB2312"/>
                <w:b w:val="0"/>
                <w:bCs w:val="0"/>
                <w:sz w:val="28"/>
                <w:szCs w:val="28"/>
              </w:rPr>
            </w:pPr>
            <w:r>
              <w:rPr>
                <w:rFonts w:ascii="仿宋_GB2312" w:hAnsi="inherit" w:eastAsia="仿宋_GB2312"/>
                <w:color w:val="000000"/>
                <w:kern w:val="0"/>
                <w:sz w:val="32"/>
                <w:szCs w:val="32"/>
              </w:rPr>
              <w:t>GB/T3921-2008</w:t>
            </w:r>
          </w:p>
        </w:tc>
      </w:tr>
    </w:tbl>
    <w:p w14:paraId="0C97A441">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jc w:val="left"/>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6.2检验应注意的问题      </w:t>
      </w:r>
    </w:p>
    <w:p w14:paraId="548C523D">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jc w:val="left"/>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6.2.1检验机构接收样品时应当有专人负责检查、记录样品的外观、状态、封条有无破损及其他可能对检测结果或者综合判定产生影响的情况，并确认样品与抽样单的记录是否相符，对检验、单项复验和备用样品分别加贴相应标识后入库。</w:t>
      </w:r>
    </w:p>
    <w:p w14:paraId="0BB84E77">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jc w:val="left"/>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6.2.2取样位置与数量应按标准规定的要求进行。</w:t>
      </w:r>
    </w:p>
    <w:p w14:paraId="42564E9A">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rPr>
          <w:rFonts w:hint="eastAsia" w:ascii="Times New Roman" w:hAnsi="Times New Roman" w:eastAsia="黑体"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黑体" w:cs="Times New Roman"/>
          <w:color w:val="000000" w:themeColor="text1"/>
          <w:sz w:val="32"/>
          <w:szCs w:val="32"/>
          <w:shd w:val="clear" w:color="auto" w:fill="FFFFFF"/>
          <w14:textFill>
            <w14:solidFill>
              <w14:schemeClr w14:val="tx1"/>
            </w14:solidFill>
          </w14:textFill>
        </w:rPr>
        <w:t>7. 判定规则、判定原则及结论表述</w:t>
      </w:r>
    </w:p>
    <w:p w14:paraId="64782581">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jc w:val="left"/>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7.1判定规则</w:t>
      </w:r>
    </w:p>
    <w:p w14:paraId="16655A57">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jc w:val="left"/>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现行有效的国家标准、行业标准、企业标准、团体标准、地方标准及产品明示质量要求</w:t>
      </w:r>
    </w:p>
    <w:p w14:paraId="7A5FFDBB">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jc w:val="left"/>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7.2判定原则</w:t>
      </w:r>
    </w:p>
    <w:p w14:paraId="000D2B2F">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jc w:val="left"/>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经检验，检验项目全部合格，判定为被抽查产品所检项目未发现不合格；检验项目中任一项或一项以上不合格，判定为被抽查产品不合格。</w:t>
      </w:r>
    </w:p>
    <w:p w14:paraId="4452EE68">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jc w:val="left"/>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若被检产品明示的质量要求高于本细则中检验项目依据的标准要求时，应按被检产品明示的质量要求判定。</w:t>
      </w:r>
    </w:p>
    <w:p w14:paraId="32D44F8E">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jc w:val="left"/>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若被检产品明示的质量要求低于本细则中检验项目依据的强制性标准要求时，应按照强制性标准要求判定。</w:t>
      </w:r>
    </w:p>
    <w:p w14:paraId="58F5CF9B">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jc w:val="left"/>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若被检产品明示的质量要求低于或包含本细则中检验项目依据的推荐性标准要求时，应以被检产品明示的质量要求判定。</w:t>
      </w:r>
    </w:p>
    <w:p w14:paraId="60801353">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jc w:val="left"/>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若被检产品明示的质量要求缺少本细则中检验项目依据的强制性标准要求时，应按照强制性标准要求判定。</w:t>
      </w:r>
    </w:p>
    <w:p w14:paraId="5FC50D39">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jc w:val="left"/>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若被检产品明示的质量要求缺少本细则中检验项目依据的推荐性标准要求时，该项目不参与判定。</w:t>
      </w:r>
    </w:p>
    <w:p w14:paraId="6B093FBB">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jc w:val="left"/>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7.3结论表述</w:t>
      </w:r>
    </w:p>
    <w:p w14:paraId="38226D21">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jc w:val="left"/>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经抽样检验，所检项目符合XXXX标准要求，依据《伊犁州</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202</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6</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年中小学生校服</w:t>
      </w:r>
      <w:r>
        <w:rPr>
          <w:rFonts w:hint="eastAsia"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产品质量</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监督抽查实施细则</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》，判定为合格。</w:t>
      </w:r>
    </w:p>
    <w:p w14:paraId="0440ED81">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jc w:val="left"/>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经抽样检验，XXXX项目不符合XXXX标准要求，依据《伊犁州</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202</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6</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年中小学生校服</w:t>
      </w:r>
      <w:r>
        <w:rPr>
          <w:rFonts w:hint="eastAsia"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产品质量</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监督抽查实施细则</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》，判定为不合格。</w:t>
      </w:r>
    </w:p>
    <w:p w14:paraId="38761A6F">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rPr>
          <w:rFonts w:hint="eastAsia" w:ascii="Times New Roman" w:hAnsi="Times New Roman" w:eastAsia="黑体"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黑体" w:cs="Times New Roman"/>
          <w:color w:val="000000" w:themeColor="text1"/>
          <w:sz w:val="32"/>
          <w:szCs w:val="32"/>
          <w:shd w:val="clear" w:color="auto" w:fill="FFFFFF"/>
          <w14:textFill>
            <w14:solidFill>
              <w14:schemeClr w14:val="tx1"/>
            </w14:solidFill>
          </w14:textFill>
        </w:rPr>
        <w:t>8. 异议处理复验</w:t>
      </w:r>
    </w:p>
    <w:p w14:paraId="468E4327">
      <w:pPr>
        <w:widowControl/>
        <w:shd w:val="clear" w:color="auto" w:fill="FFFFFF"/>
        <w:spacing w:line="570" w:lineRule="atLeast"/>
        <w:ind w:firstLine="640"/>
        <w:jc w:val="left"/>
        <w:textAlignment w:val="baseline"/>
        <w:rPr>
          <w:rFonts w:hint="eastAsia" w:ascii="Times New Roman" w:hAnsi="Times New Roman" w:eastAsia="仿宋_GB2312" w:cs="Times New Roman"/>
          <w:color w:val="000000" w:themeColor="text1"/>
          <w:kern w:val="0"/>
          <w:sz w:val="32"/>
          <w:szCs w:val="32"/>
          <w:shd w:val="clear" w:color="auto" w:fill="FFFFFF"/>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32"/>
          <w:szCs w:val="32"/>
          <w:shd w:val="clear" w:color="auto" w:fill="FFFFFF"/>
          <w:lang w:val="en-US" w:eastAsia="zh-CN" w:bidi="ar-SA"/>
          <w14:textFill>
            <w14:solidFill>
              <w14:schemeClr w14:val="tx1"/>
            </w14:solidFill>
          </w14:textFill>
        </w:rPr>
        <w:t>申请复检的，应向伊犁州市场监督管理局提出复检申请，由伊犁州市场监督管理局根据复检受理原则处理。复检工作安排按照《产品质量监督抽查管理暂行办法》（2019年11月21日国家市场监督管理总局令第18号公布）规定处理。</w:t>
      </w:r>
    </w:p>
    <w:p w14:paraId="12216BDE">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rPr>
          <w:rFonts w:hint="eastAsia" w:ascii="Times New Roman" w:hAnsi="Times New Roman" w:eastAsia="黑体"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黑体" w:cs="Times New Roman"/>
          <w:color w:val="000000" w:themeColor="text1"/>
          <w:sz w:val="32"/>
          <w:szCs w:val="32"/>
          <w:shd w:val="clear" w:color="auto" w:fill="FFFFFF"/>
          <w14:textFill>
            <w14:solidFill>
              <w14:schemeClr w14:val="tx1"/>
            </w14:solidFill>
          </w14:textFill>
        </w:rPr>
        <w:t>9. 样品处置</w:t>
      </w:r>
    </w:p>
    <w:p w14:paraId="2F3253C2">
      <w:pPr>
        <w:widowControl/>
        <w:shd w:val="clear" w:color="auto" w:fill="FFFFFF"/>
        <w:spacing w:line="570" w:lineRule="atLeast"/>
        <w:ind w:firstLine="640"/>
        <w:jc w:val="left"/>
        <w:textAlignment w:val="baseline"/>
        <w:rPr>
          <w:rFonts w:hint="eastAsia" w:ascii="Times New Roman" w:hAnsi="Times New Roman" w:eastAsia="仿宋_GB2312" w:cs="Times New Roman"/>
          <w:color w:val="000000" w:themeColor="text1"/>
          <w:kern w:val="0"/>
          <w:sz w:val="32"/>
          <w:szCs w:val="32"/>
          <w:shd w:val="clear" w:color="auto" w:fill="FFFFFF"/>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32"/>
          <w:szCs w:val="32"/>
          <w:shd w:val="clear" w:color="auto" w:fill="FFFFFF"/>
          <w:lang w:val="en-US" w:eastAsia="zh-CN" w:bidi="ar-SA"/>
          <w14:textFill>
            <w14:solidFill>
              <w14:schemeClr w14:val="tx1"/>
            </w14:solidFill>
          </w14:textFill>
        </w:rPr>
        <w:t>样品为购买样品，不予退还。</w:t>
      </w:r>
    </w:p>
    <w:p w14:paraId="347DEC31">
      <w:pPr>
        <w:widowControl/>
        <w:shd w:val="clear" w:color="auto" w:fill="FFFFFF"/>
        <w:spacing w:line="570" w:lineRule="atLeast"/>
        <w:ind w:firstLine="640"/>
        <w:jc w:val="left"/>
        <w:textAlignment w:val="baseline"/>
        <w:rPr>
          <w:rFonts w:hint="eastAsia" w:ascii="Times New Roman" w:hAnsi="Times New Roman" w:eastAsia="仿宋_GB2312" w:cs="Times New Roman"/>
          <w:color w:val="000000" w:themeColor="text1"/>
          <w:kern w:val="0"/>
          <w:sz w:val="32"/>
          <w:szCs w:val="32"/>
          <w:shd w:val="clear" w:color="auto" w:fill="FFFFFF"/>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32"/>
          <w:szCs w:val="32"/>
          <w:shd w:val="clear" w:color="auto" w:fill="FFFFFF"/>
          <w:lang w:val="en-US" w:eastAsia="zh-CN" w:bidi="ar-SA"/>
          <w14:textFill>
            <w14:solidFill>
              <w14:schemeClr w14:val="tx1"/>
            </w14:solidFill>
          </w14:textFill>
        </w:rPr>
        <w:t>检验结论为合格并且属于无偿提供的样品应当在提出异议处理申请期限届满后及时退还被抽查单位。前款规定以外的其他样品，组织监督抽查的市场监督管理部门应当在提出异议处理申请期限届满后按照有关规定及时退还被抽查单位。</w:t>
      </w:r>
    </w:p>
    <w:p w14:paraId="3FD4450A">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rPr>
          <w:rFonts w:hint="eastAsia" w:ascii="Times New Roman" w:hAnsi="Times New Roman" w:eastAsia="黑体"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黑体" w:cs="Times New Roman"/>
          <w:color w:val="000000" w:themeColor="text1"/>
          <w:sz w:val="32"/>
          <w:szCs w:val="32"/>
          <w:shd w:val="clear" w:color="auto" w:fill="FFFFFF"/>
          <w14:textFill>
            <w14:solidFill>
              <w14:schemeClr w14:val="tx1"/>
            </w14:solidFill>
          </w14:textFill>
        </w:rPr>
        <w:t>10. 附则</w:t>
      </w:r>
    </w:p>
    <w:p w14:paraId="272E674F">
      <w:pPr>
        <w:widowControl/>
        <w:shd w:val="clear" w:color="auto" w:fill="FFFFFF"/>
        <w:spacing w:line="570" w:lineRule="atLeast"/>
        <w:ind w:firstLine="640"/>
        <w:jc w:val="left"/>
        <w:textAlignment w:val="baseline"/>
        <w:rPr>
          <w:rFonts w:hint="eastAsia" w:ascii="Times New Roman" w:hAnsi="Times New Roman" w:eastAsia="仿宋_GB2312" w:cs="Times New Roman"/>
          <w:color w:val="000000" w:themeColor="text1"/>
          <w:kern w:val="0"/>
          <w:sz w:val="32"/>
          <w:szCs w:val="32"/>
          <w:shd w:val="clear" w:color="auto" w:fill="FFFFFF"/>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32"/>
          <w:szCs w:val="32"/>
          <w:shd w:val="clear" w:color="auto" w:fill="FFFFFF"/>
          <w:lang w:val="en-US" w:eastAsia="zh-CN" w:bidi="ar-SA"/>
          <w14:textFill>
            <w14:solidFill>
              <w14:schemeClr w14:val="tx1"/>
            </w14:solidFill>
          </w14:textFill>
        </w:rPr>
        <w:t>本细则由伊犁州纤维检验所编制，经伊犁州市场监督管理局批准。实施细则涉及的技术问题由伊犁州纤维检验所负责解释。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inherit">
    <w:altName w:val="Times New Roman"/>
    <w:panose1 w:val="00000000000000000000"/>
    <w:charset w:val="00"/>
    <w:family w:val="roman"/>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xMTMxMDgxZmFiMDhmMzk5Y2RiNGQ5ZWY4ZGQxOTAifQ=="/>
  </w:docVars>
  <w:rsids>
    <w:rsidRoot w:val="16397511"/>
    <w:rsid w:val="000103CC"/>
    <w:rsid w:val="00052255"/>
    <w:rsid w:val="0005452F"/>
    <w:rsid w:val="00055D5E"/>
    <w:rsid w:val="00057FD2"/>
    <w:rsid w:val="000618A2"/>
    <w:rsid w:val="00137264"/>
    <w:rsid w:val="001837A5"/>
    <w:rsid w:val="001B0797"/>
    <w:rsid w:val="001B4FC7"/>
    <w:rsid w:val="001E48F5"/>
    <w:rsid w:val="002824A1"/>
    <w:rsid w:val="002A7B4C"/>
    <w:rsid w:val="002B4BF7"/>
    <w:rsid w:val="002F5CBC"/>
    <w:rsid w:val="00331FA7"/>
    <w:rsid w:val="003D0692"/>
    <w:rsid w:val="00500762"/>
    <w:rsid w:val="00571E46"/>
    <w:rsid w:val="0058453F"/>
    <w:rsid w:val="00585820"/>
    <w:rsid w:val="005971D0"/>
    <w:rsid w:val="005975DF"/>
    <w:rsid w:val="00652DC9"/>
    <w:rsid w:val="0067267A"/>
    <w:rsid w:val="00676B56"/>
    <w:rsid w:val="00683642"/>
    <w:rsid w:val="006A6A78"/>
    <w:rsid w:val="00760451"/>
    <w:rsid w:val="007F286A"/>
    <w:rsid w:val="00802551"/>
    <w:rsid w:val="00821C40"/>
    <w:rsid w:val="00826839"/>
    <w:rsid w:val="00867DCF"/>
    <w:rsid w:val="00877391"/>
    <w:rsid w:val="00885D0E"/>
    <w:rsid w:val="008D40CC"/>
    <w:rsid w:val="008F46FA"/>
    <w:rsid w:val="009414C9"/>
    <w:rsid w:val="00964BAE"/>
    <w:rsid w:val="00975F8B"/>
    <w:rsid w:val="009F4FB9"/>
    <w:rsid w:val="00A56108"/>
    <w:rsid w:val="00AB7A64"/>
    <w:rsid w:val="00AE71CE"/>
    <w:rsid w:val="00B0376C"/>
    <w:rsid w:val="00B44986"/>
    <w:rsid w:val="00B473EC"/>
    <w:rsid w:val="00B60114"/>
    <w:rsid w:val="00B84DD6"/>
    <w:rsid w:val="00BA6947"/>
    <w:rsid w:val="00C546DC"/>
    <w:rsid w:val="00C55C57"/>
    <w:rsid w:val="00C94B0D"/>
    <w:rsid w:val="00CB529A"/>
    <w:rsid w:val="00CF2DF0"/>
    <w:rsid w:val="00D04BCD"/>
    <w:rsid w:val="00DC0788"/>
    <w:rsid w:val="00E103D7"/>
    <w:rsid w:val="00E121CA"/>
    <w:rsid w:val="00E13B89"/>
    <w:rsid w:val="00E146C0"/>
    <w:rsid w:val="00E17439"/>
    <w:rsid w:val="00E2048D"/>
    <w:rsid w:val="00F139B9"/>
    <w:rsid w:val="00F17DBD"/>
    <w:rsid w:val="00F33040"/>
    <w:rsid w:val="00F33CF2"/>
    <w:rsid w:val="00FE4F53"/>
    <w:rsid w:val="01785B98"/>
    <w:rsid w:val="0D7148E8"/>
    <w:rsid w:val="16397511"/>
    <w:rsid w:val="165434B0"/>
    <w:rsid w:val="1CAB4C1C"/>
    <w:rsid w:val="20307484"/>
    <w:rsid w:val="27D30EC2"/>
    <w:rsid w:val="3E1842B6"/>
    <w:rsid w:val="43135D99"/>
    <w:rsid w:val="45607BB1"/>
    <w:rsid w:val="49EF393B"/>
    <w:rsid w:val="51AD1496"/>
    <w:rsid w:val="52634783"/>
    <w:rsid w:val="581E14A1"/>
    <w:rsid w:val="606A75CF"/>
    <w:rsid w:val="6F185B06"/>
    <w:rsid w:val="6F247C2B"/>
    <w:rsid w:val="7DFD5AC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
    <w:qFormat/>
    <w:uiPriority w:val="99"/>
    <w:pPr>
      <w:spacing w:beforeAutospacing="1" w:afterAutospacing="1"/>
      <w:jc w:val="left"/>
      <w:outlineLvl w:val="0"/>
    </w:pPr>
    <w:rPr>
      <w:rFonts w:ascii="宋体" w:hAnsi="宋体"/>
      <w:b/>
      <w:bCs/>
      <w:kern w:val="44"/>
      <w:sz w:val="48"/>
      <w:szCs w:val="48"/>
    </w:rPr>
  </w:style>
  <w:style w:type="character" w:default="1" w:styleId="6">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qFormat/>
    <w:uiPriority w:val="99"/>
    <w:pPr>
      <w:spacing w:beforeAutospacing="1" w:afterAutospacing="1"/>
      <w:jc w:val="left"/>
    </w:pPr>
    <w:rPr>
      <w:kern w:val="0"/>
      <w:sz w:val="24"/>
    </w:rPr>
  </w:style>
  <w:style w:type="table" w:styleId="5">
    <w:name w:val="Table Grid"/>
    <w:basedOn w:val="4"/>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Heading 1 Char"/>
    <w:basedOn w:val="6"/>
    <w:link w:val="2"/>
    <w:qFormat/>
    <w:locked/>
    <w:uiPriority w:val="99"/>
    <w:rPr>
      <w:rFonts w:ascii="Calibri" w:hAnsi="Calibri" w:cs="Times New Roman"/>
      <w:b/>
      <w:bCs/>
      <w:kern w:val="44"/>
      <w:sz w:val="44"/>
      <w:szCs w:val="44"/>
    </w:rPr>
  </w:style>
  <w:style w:type="character" w:customStyle="1" w:styleId="8">
    <w:name w:val="first-child"/>
    <w:basedOn w:val="6"/>
    <w:qFormat/>
    <w:uiPriority w:val="0"/>
  </w:style>
  <w:style w:type="character" w:customStyle="1" w:styleId="9">
    <w:name w:val="layui-this"/>
    <w:basedOn w:val="6"/>
    <w:qFormat/>
    <w:uiPriority w:val="0"/>
    <w:rPr>
      <w:bdr w:val="single" w:color="EEEEEE" w:sz="6" w:space="0"/>
      <w:shd w:val="clear" w:fill="FFFFFF"/>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Pages>8</Pages>
  <Words>2761</Words>
  <Characters>3382</Characters>
  <Lines>0</Lines>
  <Paragraphs>0</Paragraphs>
  <TotalTime>0</TotalTime>
  <ScaleCrop>false</ScaleCrop>
  <LinksUpToDate>false</LinksUpToDate>
  <CharactersWithSpaces>3430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2024-06-11T08:37:00Z</dcterms:created>
  <dc:creator>张天伟伊犁计量</dc:creator>
  <cp:lastModifiedBy>space-time</cp:lastModifiedBy>
  <cp:lastPrinted>2024-06-04T10:42:00Z</cp:lastPrinted>
  <dcterms:modified xsi:type="dcterms:W3CDTF">2026-05-11T10:10:08Z</dcterms:modified>
  <dc:title>2023年伊犁州中小学生校服产品质量监督抽查实施细则</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3AECC2B3B6B74516B11DD61A91DC760E_13</vt:lpwstr>
  </property>
  <property fmtid="{D5CDD505-2E9C-101B-9397-08002B2CF9AE}" pid="4" name="KSOTemplateDocerSaveRecord">
    <vt:lpwstr>eyJoZGlkIjoiMWRlMjRjZTM1NmQyNzc5ZjY5ZWMzYmJjYTZmOGU1N2YiLCJ1c2VySWQiOiI1NTMyODkwNTEifQ==</vt:lpwstr>
  </property>
</Properties>
</file>