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173" w:type="dxa"/>
          </w:tcPr>
          <w:p>
            <w:pPr>
              <w:spacing w:line="360" w:lineRule="auto"/>
              <w:jc w:val="center"/>
              <w:rPr>
                <w:rFonts w:ascii="黑体" w:hAnsi="宋体" w:eastAsia="黑体"/>
                <w:spacing w:val="20"/>
                <w:w w:val="105"/>
                <w:sz w:val="48"/>
                <w:szCs w:val="4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515620</wp:posOffset>
                      </wp:positionV>
                      <wp:extent cx="5579745" cy="0"/>
                      <wp:effectExtent l="0" t="7620" r="1905" b="11430"/>
                      <wp:wrapNone/>
                      <wp:docPr id="1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flip:y;margin-left:4.15pt;margin-top:40.6pt;height:0pt;width:439.35pt;z-index:251659264;mso-width-relative:page;mso-height-relative:page;" filled="f" stroked="t" coordsize="21600,21600" o:gfxdata="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2HHavUAAAABwEAAA8AAAAAAAAAAQAg&#10;AAAAOAAAAGRycy9kb3ducmV2LnhtbFBLAQIUABQAAAAIAIdO4kCNF9O1/AEAAO8DAAAOAAAAAAAA&#10;AAEAIAAAADkBAABkcnMvZTJvRG9jLnhtbFBLBQYAAAAABgAGAFkBAACnBQAAAAA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宋体" w:eastAsia="黑体"/>
                <w:spacing w:val="20"/>
                <w:w w:val="105"/>
                <w:sz w:val="48"/>
                <w:szCs w:val="48"/>
              </w:rPr>
              <w:t>产品质量监督抽查实施细则</w:t>
            </w:r>
          </w:p>
        </w:tc>
      </w:tr>
    </w:tbl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360" w:lineRule="auto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仿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仿宋简体"/>
          <w:b/>
          <w:color w:val="000000"/>
          <w:sz w:val="44"/>
          <w:szCs w:val="44"/>
          <w:lang w:val="en-US" w:eastAsia="zh-CN"/>
        </w:rPr>
        <w:t>2026年伊犁哈萨克自治州混凝土外加剂产品质量监督抽查实施细则</w:t>
      </w:r>
    </w:p>
    <w:p>
      <w:pPr>
        <w:tabs>
          <w:tab w:val="left" w:pos="6930"/>
        </w:tabs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sz w:val="52"/>
          <w:szCs w:val="52"/>
        </w:rPr>
      </w:pPr>
    </w:p>
    <w:p>
      <w:pPr>
        <w:adjustRightInd w:val="0"/>
        <w:spacing w:line="480" w:lineRule="exact"/>
        <w:jc w:val="center"/>
        <w:rPr>
          <w:rFonts w:ascii="黑体" w:hAnsi="宋体" w:eastAsia="黑体"/>
          <w:sz w:val="52"/>
          <w:szCs w:val="52"/>
        </w:rPr>
      </w:pPr>
    </w:p>
    <w:p>
      <w:pPr>
        <w:adjustRightInd w:val="0"/>
        <w:spacing w:line="480" w:lineRule="exact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rPr>
          <w:rFonts w:ascii="黑体" w:hAnsi="宋体" w:eastAsia="黑体"/>
          <w:b/>
          <w:sz w:val="52"/>
          <w:szCs w:val="52"/>
        </w:rPr>
      </w:pPr>
    </w:p>
    <w:p>
      <w:pPr>
        <w:adjustRightInd w:val="0"/>
        <w:spacing w:line="48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  <w:lang w:eastAsia="zh-CN"/>
        </w:rPr>
        <w:t>202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6</w:t>
      </w:r>
      <w:r>
        <w:rPr>
          <w:rFonts w:ascii="黑体" w:hAnsi="黑体" w:eastAsia="黑体" w:cs="黑体"/>
          <w:bCs/>
          <w:sz w:val="24"/>
        </w:rPr>
        <w:t>-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00</w:t>
      </w:r>
      <w:r>
        <w:rPr>
          <w:rFonts w:ascii="黑体" w:hAnsi="黑体" w:eastAsia="黑体" w:cs="黑体"/>
          <w:bCs/>
          <w:sz w:val="24"/>
        </w:rPr>
        <w:t>-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00</w:t>
      </w:r>
      <w:r>
        <w:rPr>
          <w:rFonts w:hint="eastAsia" w:ascii="黑体" w:hAnsi="黑体" w:eastAsia="黑体" w:cs="黑体"/>
          <w:bCs/>
          <w:sz w:val="24"/>
        </w:rPr>
        <w:t>发布</w:t>
      </w:r>
      <w:r>
        <w:rPr>
          <w:rFonts w:ascii="黑体" w:hAnsi="黑体" w:eastAsia="黑体" w:cs="黑体"/>
          <w:bCs/>
          <w:sz w:val="24"/>
        </w:rPr>
        <w:t xml:space="preserve">                                         </w:t>
      </w:r>
      <w:r>
        <w:rPr>
          <w:rFonts w:hint="eastAsia" w:ascii="黑体" w:hAnsi="黑体" w:eastAsia="黑体" w:cs="黑体"/>
          <w:bCs/>
          <w:sz w:val="24"/>
          <w:lang w:eastAsia="zh-CN"/>
        </w:rPr>
        <w:t>202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6</w:t>
      </w:r>
      <w:r>
        <w:rPr>
          <w:rFonts w:ascii="黑体" w:hAnsi="黑体" w:eastAsia="黑体" w:cs="黑体"/>
          <w:bCs/>
          <w:sz w:val="24"/>
        </w:rPr>
        <w:t>-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00</w:t>
      </w:r>
      <w:r>
        <w:rPr>
          <w:rFonts w:ascii="黑体" w:hAnsi="黑体" w:eastAsia="黑体" w:cs="黑体"/>
          <w:bCs/>
          <w:sz w:val="24"/>
        </w:rPr>
        <w:t>-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00</w:t>
      </w:r>
      <w:r>
        <w:rPr>
          <w:rFonts w:hint="eastAsia" w:ascii="黑体" w:hAnsi="黑体" w:eastAsia="黑体" w:cs="黑体"/>
          <w:bCs/>
          <w:sz w:val="24"/>
        </w:rPr>
        <w:t>实施</w:t>
      </w:r>
    </w:p>
    <w:p>
      <w:pPr>
        <w:spacing w:line="360" w:lineRule="auto"/>
        <w:jc w:val="center"/>
        <w:rPr>
          <w:rFonts w:ascii="黑体" w:hAnsi="宋体" w:eastAsia="黑体" w:cs="黑体"/>
          <w:bCs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985" w:right="1361" w:bottom="1361" w:left="158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黑体" w:hAnsi="宋体" w:eastAsia="黑体" w:cs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29845</wp:posOffset>
                </wp:positionV>
                <wp:extent cx="5676265" cy="0"/>
                <wp:effectExtent l="0" t="7620" r="635" b="1143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26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15.65pt;margin-top:2.35pt;height:0pt;width:446.95pt;z-index:251661312;mso-width-relative:page;mso-height-relative:page;" filled="f" stroked="t" coordsize="21600,21600" o:gfxdata="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NOOedYAAAAHAQAADwAAAAAAAAABACAAAAA4&#10;AAAAZHJzL2Rvd25yZXYueG1sUEsBAhQAFAAAAAgAh07iQCPAOKb2AQAA5AMAAA4AAAAAAAAAAQAg&#10;AAAAOwEAAGRycy9lMm9Eb2MueG1sUEsFBgAAAAAGAAYAWQEAAKM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伊犁哈萨克自治州</w:t>
      </w:r>
      <w:r>
        <w:rPr>
          <w:rFonts w:hint="eastAsia" w:ascii="黑体" w:hAnsi="宋体" w:eastAsia="黑体" w:cs="黑体"/>
          <w:bCs/>
          <w:sz w:val="32"/>
          <w:szCs w:val="32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  <w:lang w:eastAsia="zh-CN"/>
        </w:rPr>
        <w:t>202</w:t>
      </w: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</w:rPr>
        <w:t>年</w:t>
      </w: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  <w:lang w:val="en-US" w:eastAsia="zh-CN"/>
        </w:rPr>
        <w:t>伊犁哈萨克自治州</w:t>
      </w: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  <w:lang w:eastAsia="zh-CN"/>
        </w:rPr>
        <w:t>混凝土外加剂</w:t>
      </w: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</w:rPr>
        <w:t>产品质量监督抽查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仿宋" w:eastAsia="方正小标宋简体" w:cs="方正仿宋简体"/>
          <w:b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方正仿宋简体"/>
          <w:b/>
          <w:color w:val="000000"/>
          <w:sz w:val="32"/>
          <w:szCs w:val="32"/>
        </w:rPr>
        <w:t>实施细则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仿宋" w:eastAsia="方正小标宋简体" w:cs="方正仿宋简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Cs w:val="21"/>
        </w:rPr>
      </w:pPr>
      <w:r>
        <w:rPr>
          <w:rFonts w:ascii="黑体" w:hAnsi="黑体" w:eastAsia="黑体"/>
          <w:b/>
          <w:szCs w:val="21"/>
        </w:rPr>
        <w:t xml:space="preserve">1 </w:t>
      </w:r>
      <w:r>
        <w:rPr>
          <w:rFonts w:hint="eastAsia" w:ascii="黑体" w:hAnsi="黑体" w:eastAsia="黑体"/>
          <w:b/>
          <w:szCs w:val="21"/>
        </w:rPr>
        <w:t>抽样方法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/>
          <w:szCs w:val="28"/>
          <w:highlight w:val="none"/>
        </w:rPr>
        <w:t>以随机抽样的方式在被抽样生产者待销产品中抽取。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/>
          <w:szCs w:val="28"/>
          <w:highlight w:val="none"/>
        </w:rPr>
        <w:t>随机数</w:t>
      </w:r>
      <w:r>
        <w:rPr>
          <w:rFonts w:hint="eastAsia" w:ascii="宋体" w:hAnsi="宋体"/>
          <w:szCs w:val="28"/>
          <w:highlight w:val="none"/>
          <w:lang w:eastAsia="zh-CN"/>
        </w:rPr>
        <w:t>一般可使用随机数表等方法产生</w:t>
      </w:r>
      <w:r>
        <w:rPr>
          <w:rFonts w:hint="eastAsia" w:ascii="宋体" w:hAnsi="宋体"/>
          <w:szCs w:val="28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8"/>
          <w:highlight w:val="none"/>
          <w:lang w:eastAsia="zh-CN"/>
        </w:rPr>
      </w:pPr>
      <w:r>
        <w:rPr>
          <w:rFonts w:hint="eastAsia" w:ascii="宋体" w:hAnsi="宋体"/>
          <w:szCs w:val="28"/>
          <w:highlight w:val="none"/>
          <w:lang w:val="en-US" w:eastAsia="zh-CN"/>
        </w:rPr>
        <w:t>两份样品，</w:t>
      </w:r>
      <w:r>
        <w:rPr>
          <w:rFonts w:hint="eastAsia" w:ascii="宋体" w:hAnsi="宋体"/>
          <w:szCs w:val="28"/>
          <w:highlight w:val="none"/>
          <w:lang w:eastAsia="zh-CN"/>
        </w:rPr>
        <w:t>一份作为检验样品（固体</w:t>
      </w:r>
      <w:r>
        <w:rPr>
          <w:rFonts w:hint="eastAsia" w:ascii="宋体" w:hAnsi="宋体"/>
          <w:szCs w:val="28"/>
          <w:highlight w:val="none"/>
          <w:lang w:val="en-US" w:eastAsia="zh-CN"/>
        </w:rPr>
        <w:t>5kg或</w:t>
      </w:r>
      <w:r>
        <w:rPr>
          <w:rFonts w:hint="eastAsia" w:ascii="宋体" w:hAnsi="宋体"/>
          <w:szCs w:val="28"/>
          <w:highlight w:val="none"/>
          <w:lang w:eastAsia="zh-CN"/>
        </w:rPr>
        <w:t>液体</w:t>
      </w:r>
      <w:r>
        <w:rPr>
          <w:rFonts w:hint="eastAsia" w:ascii="宋体" w:hAnsi="宋体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Cs w:val="28"/>
          <w:highlight w:val="none"/>
          <w:lang w:eastAsia="zh-CN"/>
        </w:rPr>
        <w:t>L）；另一份作为备用样品（固体</w:t>
      </w:r>
      <w:r>
        <w:rPr>
          <w:rFonts w:hint="eastAsia" w:ascii="宋体" w:hAnsi="宋体"/>
          <w:szCs w:val="28"/>
          <w:highlight w:val="none"/>
          <w:lang w:val="en-US" w:eastAsia="zh-CN"/>
        </w:rPr>
        <w:t>5kg或</w:t>
      </w:r>
      <w:r>
        <w:rPr>
          <w:rFonts w:hint="eastAsia" w:ascii="宋体" w:hAnsi="宋体"/>
          <w:szCs w:val="28"/>
          <w:highlight w:val="none"/>
          <w:lang w:eastAsia="zh-CN"/>
        </w:rPr>
        <w:t>液体</w:t>
      </w:r>
      <w:r>
        <w:rPr>
          <w:rFonts w:hint="eastAsia" w:ascii="宋体" w:hAnsi="宋体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Cs w:val="28"/>
          <w:highlight w:val="none"/>
          <w:lang w:eastAsia="zh-CN"/>
        </w:rPr>
        <w:t>L）。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color w:val="auto"/>
          <w:szCs w:val="21"/>
        </w:rPr>
      </w:pPr>
      <w:r>
        <w:rPr>
          <w:rFonts w:hint="eastAsia" w:ascii="宋体" w:hAnsi="宋体"/>
          <w:szCs w:val="28"/>
          <w:highlight w:val="none"/>
          <w:lang w:eastAsia="zh-CN"/>
        </w:rPr>
        <w:t>点样是在一次生产产品时所取得的一个试样，混合样是三个或更多的点样等量均</w:t>
      </w:r>
      <w:r>
        <w:rPr>
          <w:rFonts w:hint="eastAsia" w:ascii="Arial" w:hAnsi="Arial" w:cs="Arial"/>
          <w:color w:val="auto"/>
          <w:szCs w:val="21"/>
        </w:rPr>
        <w:t>匀混合而取得的试样。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Arial" w:hAnsi="Arial" w:cs="Arial"/>
          <w:color w:val="auto"/>
          <w:szCs w:val="21"/>
        </w:rPr>
      </w:pPr>
      <w:r>
        <w:rPr>
          <w:rFonts w:hint="eastAsia" w:ascii="Arial" w:hAnsi="Arial" w:cs="Arial"/>
          <w:color w:val="auto"/>
          <w:szCs w:val="21"/>
        </w:rPr>
        <w:t>生产厂应根据产量和生产设备条件，将产品分批编号。掺量大于1%(含1%)同品种的外加剂每一批号为100 t,掺量小于1%的外加剂每一批号为50t。不足100t或50t的也应按一个批量计，同一批号的产品必须混合均匀。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Cs w:val="21"/>
          <w:highlight w:val="yellow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Cs w:val="21"/>
          <w:highlight w:val="none"/>
        </w:rPr>
      </w:pPr>
      <w:r>
        <w:rPr>
          <w:rFonts w:ascii="黑体" w:hAnsi="黑体" w:eastAsia="黑体"/>
          <w:b/>
          <w:szCs w:val="21"/>
          <w:highlight w:val="none"/>
        </w:rPr>
        <w:t xml:space="preserve">2 </w:t>
      </w:r>
      <w:r>
        <w:rPr>
          <w:rFonts w:hint="eastAsia" w:ascii="黑体" w:hAnsi="黑体" w:eastAsia="黑体"/>
          <w:b/>
          <w:szCs w:val="21"/>
          <w:highlight w:val="none"/>
        </w:rPr>
        <w:t>检验依据</w:t>
      </w:r>
    </w:p>
    <w:p>
      <w:pPr>
        <w:pStyle w:val="25"/>
        <w:adjustRightInd w:val="0"/>
        <w:snapToGrid w:val="0"/>
        <w:spacing w:line="360" w:lineRule="auto"/>
        <w:ind w:left="0" w:leftChars="0" w:firstLine="420" w:firstLineChars="200"/>
        <w:rPr>
          <w:rFonts w:hint="eastAsia" w:ascii="Times New Roman" w:hAnsi="Times New Roman"/>
          <w:color w:val="000000"/>
          <w:kern w:val="2"/>
          <w:sz w:val="18"/>
          <w:szCs w:val="18"/>
        </w:rPr>
      </w:pPr>
      <w:r>
        <w:t>本细则规定的</w:t>
      </w:r>
      <w:r>
        <w:rPr>
          <w:rFonts w:hint="eastAsia" w:ascii="宋体" w:hAnsi="宋体"/>
          <w:szCs w:val="28"/>
          <w:lang w:eastAsia="zh-CN"/>
        </w:rPr>
        <w:t>混凝土外加剂</w:t>
      </w:r>
      <w:r>
        <w:rPr>
          <w:rFonts w:ascii="Times New Roman" w:hAnsi="Times New Roman"/>
        </w:rPr>
        <w:t>产品种类</w:t>
      </w:r>
      <w:r>
        <w:rPr>
          <w:rFonts w:hint="eastAsia" w:ascii="Times New Roman" w:hAnsi="Times New Roman"/>
        </w:rPr>
        <w:t>共有</w:t>
      </w:r>
      <w:r>
        <w:rPr>
          <w:rFonts w:hint="eastAsia" w:ascii="Times New Roman" w:hAnsi="Times New Roman"/>
          <w:lang w:val="en-US" w:eastAsia="zh-CN"/>
        </w:rPr>
        <w:t>11种</w:t>
      </w:r>
      <w:r>
        <w:rPr>
          <w:rFonts w:ascii="Times New Roman" w:hAnsi="Times New Roman"/>
        </w:rPr>
        <w:t>，具体产品名称、检测项目及检验方法见表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~表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  <w:szCs w:val="22"/>
        </w:rPr>
        <w:t>。</w:t>
      </w:r>
    </w:p>
    <w:p>
      <w:pPr>
        <w:widowControl/>
        <w:ind w:right="198" w:firstLine="1620" w:firstLineChars="900"/>
        <w:jc w:val="both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1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高性能减水剂HPWR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（早强型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HPWR-A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pPr w:leftFromText="180" w:rightFromText="180" w:vertAnchor="text" w:horzAnchor="page" w:tblpX="2389" w:tblpY="96"/>
        <w:tblOverlap w:val="never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widowControl/>
        <w:ind w:right="198"/>
        <w:jc w:val="center"/>
        <w:rPr>
          <w:rFonts w:asci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360" w:firstLineChars="2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高性能减水剂HPWR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（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标准型HPWR-S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pPr w:leftFromText="180" w:rightFromText="180" w:vertAnchor="text" w:horzAnchor="page" w:tblpX="2385" w:tblpY="101"/>
        <w:tblOverlap w:val="never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1h经时变化量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坍落度</w:t>
            </w: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</w:tbl>
    <w:p>
      <w:pPr>
        <w:adjustRightInd w:val="0"/>
        <w:snapToGrid w:val="0"/>
        <w:spacing w:line="360" w:lineRule="auto"/>
        <w:ind w:firstLine="360" w:firstLineChars="2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900" w:firstLineChars="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900" w:firstLineChars="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900" w:firstLineChars="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240" w:lineRule="auto"/>
        <w:ind w:firstLine="1980" w:firstLineChars="11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高性能减水剂HPWR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（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缓凝型HPWR-R</w:t>
      </w:r>
      <w:r>
        <w:rPr>
          <w:rFonts w:hint="eastAsia" w:ascii="Times New Roman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pPr w:leftFromText="180" w:rightFromText="180" w:vertAnchor="text" w:horzAnchor="page" w:tblpX="2368" w:tblpY="280"/>
        <w:tblOverlap w:val="never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 8076-2008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 8076-2008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1h经时变化量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坍落度</w:t>
            </w: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 8076-2008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、GB/T 8076-2025</w:t>
            </w:r>
          </w:p>
        </w:tc>
      </w:tr>
    </w:tbl>
    <w:p>
      <w:pPr>
        <w:adjustRightInd w:val="0"/>
        <w:snapToGrid w:val="0"/>
        <w:spacing w:line="360" w:lineRule="auto"/>
        <w:ind w:firstLine="1800" w:firstLineChars="10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高效减水剂HWR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（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标准型HWR-S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pPr w:leftFromText="180" w:rightFromText="180" w:vertAnchor="text" w:horzAnchor="page" w:tblpX="2385" w:tblpY="101"/>
        <w:tblOverlap w:val="never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900" w:firstLineChars="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900" w:firstLineChars="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1800" w:firstLineChars="1000"/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表5   高效减水剂HWR（缓凝型HWR-R）检验项目及检验方法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表6   普通减水剂WR（早强型WR-A）检验项目及检验方法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160" w:firstLineChars="12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2160" w:firstLineChars="1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7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普通减水剂WR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（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标准型WR-S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8 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普通减水剂WR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（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缓凝型WR-R</w:t>
      </w:r>
      <w:r>
        <w:rPr>
          <w:rFonts w:hint="eastAsia" w:hAnsi="宋体" w:cs="Times New Roman"/>
          <w:kern w:val="0"/>
          <w:sz w:val="18"/>
          <w:szCs w:val="18"/>
          <w:lang w:val="en-US" w:eastAsia="zh-CN" w:bidi="ar-SA"/>
        </w:rPr>
        <w:t>）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</w:tbl>
    <w:p>
      <w:pPr>
        <w:adjustRightInd w:val="0"/>
        <w:snapToGrid w:val="0"/>
        <w:spacing w:line="360" w:lineRule="auto"/>
        <w:ind w:firstLine="2700" w:firstLineChars="15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2700" w:firstLineChars="15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>9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引气减水剂AEWR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1h经时变化量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含气量</w:t>
            </w:r>
          </w:p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600"/>
        <w:textAlignment w:val="auto"/>
        <w:rPr>
          <w:rFonts w:hint="eastAsia" w:ascii="宋体" w:hAnsi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600"/>
        <w:textAlignment w:val="auto"/>
        <w:rPr>
          <w:rFonts w:hint="default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表10 泵送剂PA检验项目及检验方法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泌水率比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1h经时变化量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坍落度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00" w:firstLineChars="1500"/>
        <w:textAlignment w:val="auto"/>
        <w:rPr>
          <w:rFonts w:hint="eastAsia" w:ascii="宋体" w:hAnsi="宋体"/>
          <w:sz w:val="18"/>
          <w:szCs w:val="18"/>
          <w:lang w:val="en-US" w:eastAsia="zh-CN"/>
        </w:rPr>
      </w:pPr>
    </w:p>
    <w:p>
      <w:pPr>
        <w:adjustRightInd w:val="0"/>
        <w:snapToGrid w:val="0"/>
        <w:spacing w:line="360" w:lineRule="auto"/>
        <w:ind w:firstLine="2700" w:firstLineChars="15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11   </w:t>
      </w:r>
      <w:r>
        <w:rPr>
          <w:rFonts w:hint="eastAsia" w:ascii="Times New Roman" w:hAnsi="宋体" w:eastAsia="宋体" w:cs="Times New Roman"/>
          <w:kern w:val="0"/>
          <w:sz w:val="18"/>
          <w:szCs w:val="18"/>
          <w:lang w:val="en-US" w:eastAsia="zh-CN" w:bidi="ar-SA"/>
        </w:rPr>
        <w:t>引气剂AE</w:t>
      </w:r>
      <w:r>
        <w:rPr>
          <w:rFonts w:hint="eastAsia" w:ascii="宋体" w:hAnsi="宋体"/>
          <w:sz w:val="18"/>
          <w:szCs w:val="18"/>
        </w:rPr>
        <w:t>检验项目及检验方法</w:t>
      </w:r>
    </w:p>
    <w:tbl>
      <w:tblPr>
        <w:tblStyle w:val="9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8"/>
        <w:gridCol w:w="1719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43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减水率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GB 8076-2008、GB/T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37" w:type="dxa"/>
            <w:gridSpan w:val="2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含气量</w:t>
            </w:r>
          </w:p>
        </w:tc>
        <w:tc>
          <w:tcPr>
            <w:tcW w:w="3438" w:type="dxa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GB/T 50080-2016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18" w:type="dxa"/>
            <w:vMerge w:val="restart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凝结时间之差</w:t>
            </w: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初凝</w:t>
            </w:r>
          </w:p>
        </w:tc>
        <w:tc>
          <w:tcPr>
            <w:tcW w:w="3438" w:type="dxa"/>
            <w:vMerge w:val="restart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GB 8076-2008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、GB/T 8076-2025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19" w:type="dxa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终凝</w:t>
            </w:r>
          </w:p>
        </w:tc>
        <w:tc>
          <w:tcPr>
            <w:tcW w:w="3438" w:type="dxa"/>
            <w:vMerge w:val="continue"/>
            <w:noWrap/>
            <w:vAlign w:val="center"/>
          </w:tcPr>
          <w:p>
            <w:pPr>
              <w:widowControl/>
              <w:ind w:right="198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40" w:firstLineChars="30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执行企业标准、团体标准、地方标准的产品，检验项目参照上述内容执行。</w:t>
      </w:r>
    </w:p>
    <w:p>
      <w:pPr>
        <w:adjustRightInd w:val="0"/>
        <w:snapToGrid w:val="0"/>
        <w:spacing w:line="360" w:lineRule="auto"/>
        <w:ind w:firstLine="630" w:firstLineChars="3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凡是注日期的文件，其随后所有的修改单（不包括勘误的内容）或修订版不适用于本细则。凡是不注日期的文件，其最新版本适用于本细则。</w:t>
      </w:r>
    </w:p>
    <w:p>
      <w:pPr>
        <w:snapToGrid w:val="0"/>
        <w:spacing w:line="360" w:lineRule="auto"/>
        <w:ind w:firstLine="420" w:firstLineChars="200"/>
        <w:rPr>
          <w:rFonts w:asci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Cs w:val="21"/>
        </w:rPr>
      </w:pPr>
      <w:r>
        <w:rPr>
          <w:rFonts w:ascii="黑体" w:hAnsi="黑体" w:eastAsia="黑体"/>
          <w:b/>
          <w:szCs w:val="21"/>
        </w:rPr>
        <w:t xml:space="preserve">3 </w:t>
      </w:r>
      <w:r>
        <w:rPr>
          <w:rFonts w:hint="eastAsia" w:ascii="黑体" w:hAnsi="黑体" w:eastAsia="黑体"/>
          <w:b/>
          <w:szCs w:val="21"/>
        </w:rPr>
        <w:t>判定规则</w:t>
      </w:r>
    </w:p>
    <w:p>
      <w:pPr>
        <w:adjustRightInd w:val="0"/>
        <w:snapToGrid w:val="0"/>
        <w:spacing w:line="360" w:lineRule="auto"/>
        <w:rPr>
          <w:rFonts w:ascii="宋体"/>
          <w:szCs w:val="28"/>
        </w:rPr>
      </w:pPr>
      <w:r>
        <w:rPr>
          <w:rFonts w:ascii="宋体" w:hAnsi="宋体"/>
          <w:b/>
          <w:color w:val="000000"/>
          <w:szCs w:val="21"/>
        </w:rPr>
        <w:t>3.1</w:t>
      </w:r>
      <w:r>
        <w:rPr>
          <w:rFonts w:hint="eastAsia" w:ascii="宋体" w:hAnsi="宋体"/>
          <w:b/>
          <w:color w:val="000000"/>
          <w:szCs w:val="21"/>
        </w:rPr>
        <w:t>依据标准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8"/>
          <w:lang w:eastAsia="zh-CN"/>
        </w:rPr>
      </w:pPr>
      <w:r>
        <w:rPr>
          <w:rFonts w:ascii="宋体" w:hAnsi="宋体"/>
          <w:szCs w:val="28"/>
        </w:rPr>
        <w:t>GB</w:t>
      </w:r>
      <w:r>
        <w:rPr>
          <w:rFonts w:hint="eastAsia" w:ascii="宋体" w:hAnsi="宋体"/>
          <w:szCs w:val="28"/>
          <w:lang w:val="en-US" w:eastAsia="zh-CN"/>
        </w:rPr>
        <w:t xml:space="preserve"> 8076-2008</w:t>
      </w:r>
      <w:r>
        <w:rPr>
          <w:rFonts w:ascii="宋体" w:hAnsi="宋体"/>
          <w:szCs w:val="28"/>
        </w:rPr>
        <w:t xml:space="preserve"> </w:t>
      </w:r>
      <w:r>
        <w:rPr>
          <w:rFonts w:hint="eastAsia" w:ascii="宋体" w:hAnsi="宋体"/>
          <w:szCs w:val="28"/>
          <w:lang w:eastAsia="zh-CN"/>
        </w:rPr>
        <w:t>《混凝土外加剂》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8"/>
          <w:lang w:val="en-US" w:eastAsia="zh-CN"/>
        </w:rPr>
      </w:pPr>
      <w:r>
        <w:rPr>
          <w:rFonts w:hint="eastAsia" w:ascii="宋体" w:hAnsi="宋体"/>
          <w:szCs w:val="28"/>
          <w:lang w:val="en-US" w:eastAsia="zh-CN"/>
        </w:rPr>
        <w:t>GB/T 8076-2025《混凝土外加剂》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相关的法律、行政法规、部门规章、规范性文件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现行有效的企业标准、团体标准、地方标准及产品明示质量要求</w:t>
      </w:r>
    </w:p>
    <w:p>
      <w:pPr>
        <w:adjustRightInd w:val="0"/>
        <w:snapToGrid w:val="0"/>
        <w:spacing w:line="360" w:lineRule="auto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3.2</w:t>
      </w:r>
      <w:r>
        <w:rPr>
          <w:rFonts w:hint="eastAsia" w:ascii="宋体" w:hAnsi="宋体"/>
          <w:b/>
          <w:color w:val="000000"/>
          <w:szCs w:val="21"/>
        </w:rPr>
        <w:t>判定原则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经检验，检验项目全部合格，判定为被抽查产品所检项目未发现不合格；检验项目中任一项或一项以上不合格，判定为被抽查产品不合格。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若被检产品明示的质量要求高于</w:t>
      </w:r>
      <w:r>
        <w:rPr>
          <w:rFonts w:hint="eastAsia" w:ascii="宋体" w:hAnsi="宋体"/>
          <w:szCs w:val="28"/>
          <w:lang w:val="en-US" w:eastAsia="zh-CN"/>
        </w:rPr>
        <w:t>本</w:t>
      </w:r>
      <w:r>
        <w:rPr>
          <w:rFonts w:hint="eastAsia" w:ascii="宋体" w:hAnsi="宋体"/>
          <w:szCs w:val="28"/>
        </w:rPr>
        <w:t>细则中检验项目依据的标准要求时，应按被检产品明示的质量要求判定。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若被检产品明示的质量要求低于</w:t>
      </w:r>
      <w:r>
        <w:rPr>
          <w:rFonts w:hint="eastAsia" w:ascii="宋体" w:hAnsi="宋体"/>
          <w:szCs w:val="28"/>
          <w:lang w:val="en-US" w:eastAsia="zh-CN"/>
        </w:rPr>
        <w:t>本</w:t>
      </w:r>
      <w:r>
        <w:rPr>
          <w:rFonts w:hint="eastAsia" w:ascii="宋体" w:hAnsi="宋体"/>
          <w:szCs w:val="28"/>
        </w:rPr>
        <w:t>细则中检验项目依据的强制性标准要求时，应按照强制性标准要求判定。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若被检产品明示的质量要求低于或包含</w:t>
      </w:r>
      <w:r>
        <w:rPr>
          <w:rFonts w:hint="eastAsia" w:ascii="宋体" w:hAnsi="宋体"/>
          <w:szCs w:val="28"/>
          <w:lang w:val="en-US" w:eastAsia="zh-CN"/>
        </w:rPr>
        <w:t>本</w:t>
      </w:r>
      <w:r>
        <w:rPr>
          <w:rFonts w:hint="eastAsia" w:ascii="宋体" w:hAnsi="宋体"/>
          <w:szCs w:val="28"/>
        </w:rPr>
        <w:t>细则中检验项目依据的推荐性标准要求时，应以被检产品明示的质量要求判定，但应在检验报告备注中进行说明。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若被检产品明示的质量要求缺少</w:t>
      </w:r>
      <w:r>
        <w:rPr>
          <w:rFonts w:hint="eastAsia" w:ascii="宋体" w:hAnsi="宋体"/>
          <w:szCs w:val="28"/>
          <w:lang w:val="en-US" w:eastAsia="zh-CN"/>
        </w:rPr>
        <w:t>本</w:t>
      </w:r>
      <w:r>
        <w:rPr>
          <w:rFonts w:hint="eastAsia" w:ascii="宋体" w:hAnsi="宋体"/>
          <w:szCs w:val="28"/>
        </w:rPr>
        <w:t>细则中检验项目依据的强制性标准要求时，应按照强制性标准要求判定。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若被检产品明示的质量要求缺少</w:t>
      </w:r>
      <w:r>
        <w:rPr>
          <w:rFonts w:hint="eastAsia" w:ascii="宋体" w:hAnsi="宋体"/>
          <w:szCs w:val="28"/>
          <w:lang w:val="en-US" w:eastAsia="zh-CN"/>
        </w:rPr>
        <w:t>本</w:t>
      </w:r>
      <w:r>
        <w:rPr>
          <w:rFonts w:hint="eastAsia" w:ascii="宋体" w:hAnsi="宋体"/>
          <w:szCs w:val="28"/>
        </w:rPr>
        <w:t>细则中检验项目依据的推荐性标准要求时，该项目不参与判定，但应在检验报告备注中进行说明。</w:t>
      </w:r>
    </w:p>
    <w:p>
      <w:pPr>
        <w:adjustRightInd w:val="0"/>
        <w:snapToGrid w:val="0"/>
        <w:spacing w:line="360" w:lineRule="auto"/>
        <w:ind w:firstLine="417" w:firstLineChars="199"/>
        <w:rPr>
          <w:rFonts w:ascii="宋体"/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53975</wp:posOffset>
                </wp:positionV>
                <wp:extent cx="2390140" cy="0"/>
                <wp:effectExtent l="0" t="5080" r="635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4pt;margin-top:4.25pt;height:0pt;width:188.2pt;z-index:251660288;mso-width-relative:page;mso-height-relative:page;" filled="f" stroked="t" coordsize="21600,21600" o:gfxdata="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LOBe/HVAAAABwEAAA8AAAAAAAAAAQAgAAAAOAAAAGRycy9kb3ducmV2&#10;LnhtbFBLAQIUABQAAAAIAIdO4kCfcPE/6QEAALg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  <w:r>
        <w:rPr>
          <w:rFonts w:ascii="宋体"/>
          <w:color w:val="000000"/>
          <w:szCs w:val="21"/>
        </w:rPr>
        <w:softHyphen/>
      </w:r>
    </w:p>
    <w:sectPr>
      <w:pgSz w:w="11906" w:h="16838"/>
      <w:pgMar w:top="1985" w:right="1361" w:bottom="136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BookMaker7DlFont70536871171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BookMaker11DlFont110536871175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BookMaker2DlFont2053687117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TIwNzViNzcwZDlhYzI1Mjc2ZGYxZGMzYTcwN2MifQ=="/>
  </w:docVars>
  <w:rsids>
    <w:rsidRoot w:val="00172A27"/>
    <w:rsid w:val="00000B18"/>
    <w:rsid w:val="00006402"/>
    <w:rsid w:val="00012715"/>
    <w:rsid w:val="00021005"/>
    <w:rsid w:val="00023C4E"/>
    <w:rsid w:val="000276A9"/>
    <w:rsid w:val="000304C5"/>
    <w:rsid w:val="0003193A"/>
    <w:rsid w:val="00035064"/>
    <w:rsid w:val="00037D8D"/>
    <w:rsid w:val="0004011D"/>
    <w:rsid w:val="000442ED"/>
    <w:rsid w:val="00051A44"/>
    <w:rsid w:val="00057351"/>
    <w:rsid w:val="00060ECF"/>
    <w:rsid w:val="000623A1"/>
    <w:rsid w:val="000672B7"/>
    <w:rsid w:val="00071001"/>
    <w:rsid w:val="00076F61"/>
    <w:rsid w:val="00081CBD"/>
    <w:rsid w:val="000841A6"/>
    <w:rsid w:val="0009399B"/>
    <w:rsid w:val="000976DE"/>
    <w:rsid w:val="000D0007"/>
    <w:rsid w:val="000D2195"/>
    <w:rsid w:val="000D2C3B"/>
    <w:rsid w:val="000D3759"/>
    <w:rsid w:val="000D45B9"/>
    <w:rsid w:val="000E24C4"/>
    <w:rsid w:val="000F64F9"/>
    <w:rsid w:val="000F6E44"/>
    <w:rsid w:val="000F7E56"/>
    <w:rsid w:val="001035C2"/>
    <w:rsid w:val="00106D82"/>
    <w:rsid w:val="00107ECD"/>
    <w:rsid w:val="00113310"/>
    <w:rsid w:val="00115BC8"/>
    <w:rsid w:val="00115FA1"/>
    <w:rsid w:val="0012168C"/>
    <w:rsid w:val="00122CB7"/>
    <w:rsid w:val="00131D65"/>
    <w:rsid w:val="001427FD"/>
    <w:rsid w:val="001437C2"/>
    <w:rsid w:val="00144CD3"/>
    <w:rsid w:val="00155096"/>
    <w:rsid w:val="0015743B"/>
    <w:rsid w:val="001715A9"/>
    <w:rsid w:val="00172A27"/>
    <w:rsid w:val="00175489"/>
    <w:rsid w:val="001754B1"/>
    <w:rsid w:val="0017795B"/>
    <w:rsid w:val="001809DD"/>
    <w:rsid w:val="00182509"/>
    <w:rsid w:val="001845E3"/>
    <w:rsid w:val="0018638C"/>
    <w:rsid w:val="001A4CAF"/>
    <w:rsid w:val="001A65B0"/>
    <w:rsid w:val="001C1F87"/>
    <w:rsid w:val="001C4F34"/>
    <w:rsid w:val="001C5C52"/>
    <w:rsid w:val="001D1FBC"/>
    <w:rsid w:val="001D36B4"/>
    <w:rsid w:val="001D5C67"/>
    <w:rsid w:val="001D6824"/>
    <w:rsid w:val="001E4729"/>
    <w:rsid w:val="001E4F8B"/>
    <w:rsid w:val="001E670E"/>
    <w:rsid w:val="001F2D1F"/>
    <w:rsid w:val="00210539"/>
    <w:rsid w:val="00220A15"/>
    <w:rsid w:val="00223317"/>
    <w:rsid w:val="00225BB4"/>
    <w:rsid w:val="002448A3"/>
    <w:rsid w:val="00246645"/>
    <w:rsid w:val="00247D1B"/>
    <w:rsid w:val="00253624"/>
    <w:rsid w:val="002710B5"/>
    <w:rsid w:val="00274E3E"/>
    <w:rsid w:val="002825C2"/>
    <w:rsid w:val="00287B95"/>
    <w:rsid w:val="00293B52"/>
    <w:rsid w:val="002A02DD"/>
    <w:rsid w:val="002A6812"/>
    <w:rsid w:val="002A7719"/>
    <w:rsid w:val="002A7D1C"/>
    <w:rsid w:val="002B50E7"/>
    <w:rsid w:val="002D17A5"/>
    <w:rsid w:val="002D3EDC"/>
    <w:rsid w:val="002D48CE"/>
    <w:rsid w:val="002D7F8A"/>
    <w:rsid w:val="002E0D1D"/>
    <w:rsid w:val="002E1EAC"/>
    <w:rsid w:val="002E369A"/>
    <w:rsid w:val="002E68A8"/>
    <w:rsid w:val="002E772A"/>
    <w:rsid w:val="002E7D4F"/>
    <w:rsid w:val="002F49EA"/>
    <w:rsid w:val="00306A87"/>
    <w:rsid w:val="00311DD2"/>
    <w:rsid w:val="003203A3"/>
    <w:rsid w:val="003222A6"/>
    <w:rsid w:val="00344156"/>
    <w:rsid w:val="00370830"/>
    <w:rsid w:val="00371567"/>
    <w:rsid w:val="00375E4A"/>
    <w:rsid w:val="00376283"/>
    <w:rsid w:val="00382F69"/>
    <w:rsid w:val="00391B0E"/>
    <w:rsid w:val="0039208F"/>
    <w:rsid w:val="00392A15"/>
    <w:rsid w:val="00393EB1"/>
    <w:rsid w:val="003A0D0D"/>
    <w:rsid w:val="003A1E75"/>
    <w:rsid w:val="003A6C26"/>
    <w:rsid w:val="003B226D"/>
    <w:rsid w:val="003C3420"/>
    <w:rsid w:val="003C388C"/>
    <w:rsid w:val="003C4CFD"/>
    <w:rsid w:val="003C6F9C"/>
    <w:rsid w:val="003D0118"/>
    <w:rsid w:val="003D4282"/>
    <w:rsid w:val="003E4890"/>
    <w:rsid w:val="003E61BF"/>
    <w:rsid w:val="0040154B"/>
    <w:rsid w:val="00403C47"/>
    <w:rsid w:val="004074E8"/>
    <w:rsid w:val="00427D8E"/>
    <w:rsid w:val="004333BE"/>
    <w:rsid w:val="004404E5"/>
    <w:rsid w:val="00441CD2"/>
    <w:rsid w:val="00442A9A"/>
    <w:rsid w:val="00445E86"/>
    <w:rsid w:val="00453259"/>
    <w:rsid w:val="00453387"/>
    <w:rsid w:val="00456D8D"/>
    <w:rsid w:val="00457A50"/>
    <w:rsid w:val="00474E04"/>
    <w:rsid w:val="004820E0"/>
    <w:rsid w:val="00490A9C"/>
    <w:rsid w:val="004A2393"/>
    <w:rsid w:val="004A29CE"/>
    <w:rsid w:val="004A4293"/>
    <w:rsid w:val="004C04CE"/>
    <w:rsid w:val="004C467E"/>
    <w:rsid w:val="004D0C5A"/>
    <w:rsid w:val="004D0E11"/>
    <w:rsid w:val="004D25D5"/>
    <w:rsid w:val="004D3D41"/>
    <w:rsid w:val="004E1396"/>
    <w:rsid w:val="004E1F92"/>
    <w:rsid w:val="004E6582"/>
    <w:rsid w:val="004F23B6"/>
    <w:rsid w:val="004F4DF1"/>
    <w:rsid w:val="00500627"/>
    <w:rsid w:val="00501810"/>
    <w:rsid w:val="00515553"/>
    <w:rsid w:val="005160B2"/>
    <w:rsid w:val="00520E09"/>
    <w:rsid w:val="00521300"/>
    <w:rsid w:val="00530363"/>
    <w:rsid w:val="005317D6"/>
    <w:rsid w:val="005423FF"/>
    <w:rsid w:val="005431BD"/>
    <w:rsid w:val="00546B84"/>
    <w:rsid w:val="00550747"/>
    <w:rsid w:val="005523B4"/>
    <w:rsid w:val="0055330F"/>
    <w:rsid w:val="00557DE8"/>
    <w:rsid w:val="005608C8"/>
    <w:rsid w:val="00560BA9"/>
    <w:rsid w:val="00563EBC"/>
    <w:rsid w:val="00576C0D"/>
    <w:rsid w:val="00577212"/>
    <w:rsid w:val="005909A6"/>
    <w:rsid w:val="0059437C"/>
    <w:rsid w:val="005A3370"/>
    <w:rsid w:val="005A492D"/>
    <w:rsid w:val="005A62EF"/>
    <w:rsid w:val="005B210F"/>
    <w:rsid w:val="005C50E3"/>
    <w:rsid w:val="005C7F5D"/>
    <w:rsid w:val="005D5EFF"/>
    <w:rsid w:val="005E6344"/>
    <w:rsid w:val="005E74D9"/>
    <w:rsid w:val="005F222B"/>
    <w:rsid w:val="005F3116"/>
    <w:rsid w:val="006043EF"/>
    <w:rsid w:val="00612160"/>
    <w:rsid w:val="006226EA"/>
    <w:rsid w:val="006241C7"/>
    <w:rsid w:val="00627861"/>
    <w:rsid w:val="00627B95"/>
    <w:rsid w:val="00634B49"/>
    <w:rsid w:val="00643C90"/>
    <w:rsid w:val="006456DE"/>
    <w:rsid w:val="0065091F"/>
    <w:rsid w:val="0065424C"/>
    <w:rsid w:val="006617E9"/>
    <w:rsid w:val="00664DE7"/>
    <w:rsid w:val="006661AC"/>
    <w:rsid w:val="0067489B"/>
    <w:rsid w:val="006754EA"/>
    <w:rsid w:val="00683994"/>
    <w:rsid w:val="00696D8F"/>
    <w:rsid w:val="006A0617"/>
    <w:rsid w:val="006A0D1B"/>
    <w:rsid w:val="006A4981"/>
    <w:rsid w:val="006B091E"/>
    <w:rsid w:val="006B1E8C"/>
    <w:rsid w:val="006B3511"/>
    <w:rsid w:val="006B4E28"/>
    <w:rsid w:val="006B67F1"/>
    <w:rsid w:val="006B7ACD"/>
    <w:rsid w:val="006C13D2"/>
    <w:rsid w:val="006C2301"/>
    <w:rsid w:val="006D16E2"/>
    <w:rsid w:val="006D268B"/>
    <w:rsid w:val="006E352B"/>
    <w:rsid w:val="006E507D"/>
    <w:rsid w:val="006E67B2"/>
    <w:rsid w:val="006F0971"/>
    <w:rsid w:val="006F23D7"/>
    <w:rsid w:val="007035AB"/>
    <w:rsid w:val="007064E0"/>
    <w:rsid w:val="007076A7"/>
    <w:rsid w:val="0071152C"/>
    <w:rsid w:val="0071301C"/>
    <w:rsid w:val="00713F1D"/>
    <w:rsid w:val="00720D95"/>
    <w:rsid w:val="00721C12"/>
    <w:rsid w:val="0072334C"/>
    <w:rsid w:val="007322DF"/>
    <w:rsid w:val="0073789D"/>
    <w:rsid w:val="00740BD6"/>
    <w:rsid w:val="0074174D"/>
    <w:rsid w:val="007428C6"/>
    <w:rsid w:val="00744A0C"/>
    <w:rsid w:val="007473E4"/>
    <w:rsid w:val="00754D56"/>
    <w:rsid w:val="00756A15"/>
    <w:rsid w:val="0076091D"/>
    <w:rsid w:val="007626BB"/>
    <w:rsid w:val="00762707"/>
    <w:rsid w:val="00762F32"/>
    <w:rsid w:val="00764B44"/>
    <w:rsid w:val="00765F1D"/>
    <w:rsid w:val="00771074"/>
    <w:rsid w:val="00785F6C"/>
    <w:rsid w:val="00796065"/>
    <w:rsid w:val="007A3118"/>
    <w:rsid w:val="007B0C75"/>
    <w:rsid w:val="007B1C42"/>
    <w:rsid w:val="007B3BBD"/>
    <w:rsid w:val="007C1867"/>
    <w:rsid w:val="007C6565"/>
    <w:rsid w:val="007D4454"/>
    <w:rsid w:val="007D5622"/>
    <w:rsid w:val="007E4A72"/>
    <w:rsid w:val="007E57F6"/>
    <w:rsid w:val="007F26B4"/>
    <w:rsid w:val="00803103"/>
    <w:rsid w:val="0080654F"/>
    <w:rsid w:val="008121A2"/>
    <w:rsid w:val="0081453E"/>
    <w:rsid w:val="00815C30"/>
    <w:rsid w:val="00832480"/>
    <w:rsid w:val="0083350B"/>
    <w:rsid w:val="00833A7C"/>
    <w:rsid w:val="00835F10"/>
    <w:rsid w:val="0084366D"/>
    <w:rsid w:val="00854F6E"/>
    <w:rsid w:val="00865D04"/>
    <w:rsid w:val="00875457"/>
    <w:rsid w:val="00883103"/>
    <w:rsid w:val="00884C24"/>
    <w:rsid w:val="00895BEA"/>
    <w:rsid w:val="008A0055"/>
    <w:rsid w:val="008A0FF4"/>
    <w:rsid w:val="008A3497"/>
    <w:rsid w:val="008A3CC9"/>
    <w:rsid w:val="008A5AF6"/>
    <w:rsid w:val="008A5D98"/>
    <w:rsid w:val="008B69C6"/>
    <w:rsid w:val="008B6AA6"/>
    <w:rsid w:val="008D2366"/>
    <w:rsid w:val="008E32F0"/>
    <w:rsid w:val="008E5B49"/>
    <w:rsid w:val="008E73EC"/>
    <w:rsid w:val="008E73FB"/>
    <w:rsid w:val="008F2CA7"/>
    <w:rsid w:val="009055F7"/>
    <w:rsid w:val="00916A9A"/>
    <w:rsid w:val="00916DA0"/>
    <w:rsid w:val="00917A54"/>
    <w:rsid w:val="00920717"/>
    <w:rsid w:val="00921D0C"/>
    <w:rsid w:val="00923ED3"/>
    <w:rsid w:val="009339AE"/>
    <w:rsid w:val="00936209"/>
    <w:rsid w:val="009365BE"/>
    <w:rsid w:val="00942D8C"/>
    <w:rsid w:val="009439DD"/>
    <w:rsid w:val="0094409B"/>
    <w:rsid w:val="009443F6"/>
    <w:rsid w:val="0096571F"/>
    <w:rsid w:val="009659A3"/>
    <w:rsid w:val="00972E10"/>
    <w:rsid w:val="00973B12"/>
    <w:rsid w:val="00980D7B"/>
    <w:rsid w:val="00981D9D"/>
    <w:rsid w:val="00985E07"/>
    <w:rsid w:val="00986872"/>
    <w:rsid w:val="00991143"/>
    <w:rsid w:val="00992BA6"/>
    <w:rsid w:val="009950CE"/>
    <w:rsid w:val="00995EFE"/>
    <w:rsid w:val="00996FEC"/>
    <w:rsid w:val="009A15C9"/>
    <w:rsid w:val="009A44C8"/>
    <w:rsid w:val="009B5017"/>
    <w:rsid w:val="009B5EF0"/>
    <w:rsid w:val="009D29B0"/>
    <w:rsid w:val="009D29FE"/>
    <w:rsid w:val="009D346B"/>
    <w:rsid w:val="009D7B49"/>
    <w:rsid w:val="009E152A"/>
    <w:rsid w:val="009E157F"/>
    <w:rsid w:val="009E73FD"/>
    <w:rsid w:val="009F036B"/>
    <w:rsid w:val="009F265F"/>
    <w:rsid w:val="009F5016"/>
    <w:rsid w:val="009F6B32"/>
    <w:rsid w:val="00A04235"/>
    <w:rsid w:val="00A05B06"/>
    <w:rsid w:val="00A07BE3"/>
    <w:rsid w:val="00A20994"/>
    <w:rsid w:val="00A255C2"/>
    <w:rsid w:val="00A376F5"/>
    <w:rsid w:val="00A37F61"/>
    <w:rsid w:val="00A43553"/>
    <w:rsid w:val="00A50B10"/>
    <w:rsid w:val="00A55A75"/>
    <w:rsid w:val="00A62B41"/>
    <w:rsid w:val="00A675D2"/>
    <w:rsid w:val="00A725DC"/>
    <w:rsid w:val="00A73AFA"/>
    <w:rsid w:val="00A80B31"/>
    <w:rsid w:val="00A821C6"/>
    <w:rsid w:val="00A8284B"/>
    <w:rsid w:val="00A8778B"/>
    <w:rsid w:val="00A95167"/>
    <w:rsid w:val="00A976C3"/>
    <w:rsid w:val="00AA04ED"/>
    <w:rsid w:val="00AA2B3B"/>
    <w:rsid w:val="00AA2BE0"/>
    <w:rsid w:val="00AA3905"/>
    <w:rsid w:val="00AA5A4E"/>
    <w:rsid w:val="00AB454C"/>
    <w:rsid w:val="00AB47A2"/>
    <w:rsid w:val="00AC2C98"/>
    <w:rsid w:val="00AC4183"/>
    <w:rsid w:val="00AC6A4A"/>
    <w:rsid w:val="00AD1654"/>
    <w:rsid w:val="00AD5446"/>
    <w:rsid w:val="00AE199C"/>
    <w:rsid w:val="00AE6407"/>
    <w:rsid w:val="00AE7281"/>
    <w:rsid w:val="00B03AD3"/>
    <w:rsid w:val="00B03F44"/>
    <w:rsid w:val="00B052CD"/>
    <w:rsid w:val="00B07D2D"/>
    <w:rsid w:val="00B10B8A"/>
    <w:rsid w:val="00B11A9D"/>
    <w:rsid w:val="00B11F7B"/>
    <w:rsid w:val="00B12169"/>
    <w:rsid w:val="00B12D9E"/>
    <w:rsid w:val="00B150B3"/>
    <w:rsid w:val="00B1607C"/>
    <w:rsid w:val="00B17C91"/>
    <w:rsid w:val="00B21ADC"/>
    <w:rsid w:val="00B23950"/>
    <w:rsid w:val="00B37BD1"/>
    <w:rsid w:val="00B40DD7"/>
    <w:rsid w:val="00B4421F"/>
    <w:rsid w:val="00B512B6"/>
    <w:rsid w:val="00B5192F"/>
    <w:rsid w:val="00B6027C"/>
    <w:rsid w:val="00B60FC4"/>
    <w:rsid w:val="00B64ECB"/>
    <w:rsid w:val="00B71D32"/>
    <w:rsid w:val="00B913CF"/>
    <w:rsid w:val="00B9297F"/>
    <w:rsid w:val="00B92EA8"/>
    <w:rsid w:val="00B96506"/>
    <w:rsid w:val="00B96722"/>
    <w:rsid w:val="00BA29DB"/>
    <w:rsid w:val="00BA39E8"/>
    <w:rsid w:val="00BA444C"/>
    <w:rsid w:val="00BC0F3D"/>
    <w:rsid w:val="00BC11AA"/>
    <w:rsid w:val="00BC2570"/>
    <w:rsid w:val="00BC3E34"/>
    <w:rsid w:val="00BC6101"/>
    <w:rsid w:val="00BD46C8"/>
    <w:rsid w:val="00BD48D8"/>
    <w:rsid w:val="00BD5E15"/>
    <w:rsid w:val="00BF04E2"/>
    <w:rsid w:val="00BF2499"/>
    <w:rsid w:val="00BF4455"/>
    <w:rsid w:val="00C03A09"/>
    <w:rsid w:val="00C04BB6"/>
    <w:rsid w:val="00C064F4"/>
    <w:rsid w:val="00C106D7"/>
    <w:rsid w:val="00C11645"/>
    <w:rsid w:val="00C14F93"/>
    <w:rsid w:val="00C158F1"/>
    <w:rsid w:val="00C24760"/>
    <w:rsid w:val="00C26074"/>
    <w:rsid w:val="00C353D5"/>
    <w:rsid w:val="00C5014D"/>
    <w:rsid w:val="00C52ED0"/>
    <w:rsid w:val="00C54BC5"/>
    <w:rsid w:val="00C54FB2"/>
    <w:rsid w:val="00C749FE"/>
    <w:rsid w:val="00C75387"/>
    <w:rsid w:val="00C77CE3"/>
    <w:rsid w:val="00C83B0A"/>
    <w:rsid w:val="00C871A1"/>
    <w:rsid w:val="00C92162"/>
    <w:rsid w:val="00C94824"/>
    <w:rsid w:val="00C95ACB"/>
    <w:rsid w:val="00C9608B"/>
    <w:rsid w:val="00CA1006"/>
    <w:rsid w:val="00CB0A67"/>
    <w:rsid w:val="00CB4CFB"/>
    <w:rsid w:val="00CC3BFE"/>
    <w:rsid w:val="00CC3F7B"/>
    <w:rsid w:val="00CC7DB2"/>
    <w:rsid w:val="00CD0BD6"/>
    <w:rsid w:val="00CE09EF"/>
    <w:rsid w:val="00CE1E0C"/>
    <w:rsid w:val="00CE277E"/>
    <w:rsid w:val="00CE387D"/>
    <w:rsid w:val="00CE3A7F"/>
    <w:rsid w:val="00CF0881"/>
    <w:rsid w:val="00CF146B"/>
    <w:rsid w:val="00CF3A49"/>
    <w:rsid w:val="00CF527F"/>
    <w:rsid w:val="00CF6662"/>
    <w:rsid w:val="00D02A45"/>
    <w:rsid w:val="00D15D3E"/>
    <w:rsid w:val="00D1658A"/>
    <w:rsid w:val="00D31AD0"/>
    <w:rsid w:val="00D3333B"/>
    <w:rsid w:val="00D33DCC"/>
    <w:rsid w:val="00D356AC"/>
    <w:rsid w:val="00D45E0D"/>
    <w:rsid w:val="00D56867"/>
    <w:rsid w:val="00D65C59"/>
    <w:rsid w:val="00D66629"/>
    <w:rsid w:val="00D72638"/>
    <w:rsid w:val="00D76329"/>
    <w:rsid w:val="00D84229"/>
    <w:rsid w:val="00D90D2F"/>
    <w:rsid w:val="00D9145F"/>
    <w:rsid w:val="00D9632F"/>
    <w:rsid w:val="00DA06A4"/>
    <w:rsid w:val="00DB6E0E"/>
    <w:rsid w:val="00DC19FC"/>
    <w:rsid w:val="00DC6844"/>
    <w:rsid w:val="00DC7251"/>
    <w:rsid w:val="00DE55E6"/>
    <w:rsid w:val="00DE5A74"/>
    <w:rsid w:val="00DF135C"/>
    <w:rsid w:val="00DF183C"/>
    <w:rsid w:val="00DF1849"/>
    <w:rsid w:val="00DF5C6C"/>
    <w:rsid w:val="00DF7CCC"/>
    <w:rsid w:val="00E02A7F"/>
    <w:rsid w:val="00E02F33"/>
    <w:rsid w:val="00E04433"/>
    <w:rsid w:val="00E07880"/>
    <w:rsid w:val="00E10BE9"/>
    <w:rsid w:val="00E17EDE"/>
    <w:rsid w:val="00E20DE0"/>
    <w:rsid w:val="00E20E35"/>
    <w:rsid w:val="00E22B6C"/>
    <w:rsid w:val="00E24D95"/>
    <w:rsid w:val="00E601F3"/>
    <w:rsid w:val="00E611F3"/>
    <w:rsid w:val="00E632FA"/>
    <w:rsid w:val="00E66936"/>
    <w:rsid w:val="00E753E6"/>
    <w:rsid w:val="00E75A19"/>
    <w:rsid w:val="00E82621"/>
    <w:rsid w:val="00E82AA9"/>
    <w:rsid w:val="00E85E2F"/>
    <w:rsid w:val="00E94312"/>
    <w:rsid w:val="00E974E0"/>
    <w:rsid w:val="00EB0083"/>
    <w:rsid w:val="00EB023B"/>
    <w:rsid w:val="00EB22EC"/>
    <w:rsid w:val="00EB2BD1"/>
    <w:rsid w:val="00EB353C"/>
    <w:rsid w:val="00EB6821"/>
    <w:rsid w:val="00EC01EC"/>
    <w:rsid w:val="00EC13CB"/>
    <w:rsid w:val="00ED0164"/>
    <w:rsid w:val="00ED33A1"/>
    <w:rsid w:val="00EE2F85"/>
    <w:rsid w:val="00EE53BC"/>
    <w:rsid w:val="00EF31B9"/>
    <w:rsid w:val="00EF3A61"/>
    <w:rsid w:val="00F01BEC"/>
    <w:rsid w:val="00F030E4"/>
    <w:rsid w:val="00F063E3"/>
    <w:rsid w:val="00F12212"/>
    <w:rsid w:val="00F32376"/>
    <w:rsid w:val="00F370D1"/>
    <w:rsid w:val="00F37923"/>
    <w:rsid w:val="00F41F1B"/>
    <w:rsid w:val="00F44DBE"/>
    <w:rsid w:val="00F51B27"/>
    <w:rsid w:val="00F5233C"/>
    <w:rsid w:val="00F572D7"/>
    <w:rsid w:val="00F6498A"/>
    <w:rsid w:val="00F721D8"/>
    <w:rsid w:val="00F73B94"/>
    <w:rsid w:val="00F77C9A"/>
    <w:rsid w:val="00F9167B"/>
    <w:rsid w:val="00F9402A"/>
    <w:rsid w:val="00F942DA"/>
    <w:rsid w:val="00F9792E"/>
    <w:rsid w:val="00FA33D1"/>
    <w:rsid w:val="00FA72DA"/>
    <w:rsid w:val="00FB2570"/>
    <w:rsid w:val="00FB576C"/>
    <w:rsid w:val="00FC2D9F"/>
    <w:rsid w:val="00FD2AA6"/>
    <w:rsid w:val="00FD40B4"/>
    <w:rsid w:val="00FD5A2A"/>
    <w:rsid w:val="00FE61E5"/>
    <w:rsid w:val="00FE6260"/>
    <w:rsid w:val="00FE746B"/>
    <w:rsid w:val="00FE7E8A"/>
    <w:rsid w:val="00FF477D"/>
    <w:rsid w:val="022B2C0A"/>
    <w:rsid w:val="026E6DDD"/>
    <w:rsid w:val="041B280B"/>
    <w:rsid w:val="07583D71"/>
    <w:rsid w:val="080F4DB8"/>
    <w:rsid w:val="085C50C7"/>
    <w:rsid w:val="095E03B8"/>
    <w:rsid w:val="09EB714C"/>
    <w:rsid w:val="0A4E4984"/>
    <w:rsid w:val="0B7A69B0"/>
    <w:rsid w:val="0C5B0B02"/>
    <w:rsid w:val="0E6C5A3B"/>
    <w:rsid w:val="0F4A7D3F"/>
    <w:rsid w:val="13EC39BC"/>
    <w:rsid w:val="14D103C6"/>
    <w:rsid w:val="17797B1C"/>
    <w:rsid w:val="17F65611"/>
    <w:rsid w:val="18E67433"/>
    <w:rsid w:val="19A2504A"/>
    <w:rsid w:val="19BE3706"/>
    <w:rsid w:val="1AD97324"/>
    <w:rsid w:val="1B310649"/>
    <w:rsid w:val="1B495A57"/>
    <w:rsid w:val="1B5A14F9"/>
    <w:rsid w:val="1BA004BA"/>
    <w:rsid w:val="1BAC7F86"/>
    <w:rsid w:val="1C643BEC"/>
    <w:rsid w:val="1C925E48"/>
    <w:rsid w:val="20C1574F"/>
    <w:rsid w:val="20CA13E8"/>
    <w:rsid w:val="210C1A01"/>
    <w:rsid w:val="21271E30"/>
    <w:rsid w:val="22042D93"/>
    <w:rsid w:val="22A70FE7"/>
    <w:rsid w:val="25901ED5"/>
    <w:rsid w:val="25AD37B3"/>
    <w:rsid w:val="26F7280B"/>
    <w:rsid w:val="27EE2B60"/>
    <w:rsid w:val="28164F13"/>
    <w:rsid w:val="282835C4"/>
    <w:rsid w:val="2A2B2F31"/>
    <w:rsid w:val="2A520044"/>
    <w:rsid w:val="2B17042D"/>
    <w:rsid w:val="2D917516"/>
    <w:rsid w:val="2E8A531F"/>
    <w:rsid w:val="308675AA"/>
    <w:rsid w:val="322F6E0E"/>
    <w:rsid w:val="32764F2C"/>
    <w:rsid w:val="33487E46"/>
    <w:rsid w:val="35B0071D"/>
    <w:rsid w:val="35F04FF6"/>
    <w:rsid w:val="385579D8"/>
    <w:rsid w:val="3BA713EC"/>
    <w:rsid w:val="3C1934F8"/>
    <w:rsid w:val="3C4B3800"/>
    <w:rsid w:val="3E6E32C4"/>
    <w:rsid w:val="3ED25BE0"/>
    <w:rsid w:val="3ED454B4"/>
    <w:rsid w:val="3F80388E"/>
    <w:rsid w:val="404B131F"/>
    <w:rsid w:val="409969B6"/>
    <w:rsid w:val="43EE7018"/>
    <w:rsid w:val="45F442A6"/>
    <w:rsid w:val="47393F80"/>
    <w:rsid w:val="4867383D"/>
    <w:rsid w:val="4B8B2F80"/>
    <w:rsid w:val="4BB74194"/>
    <w:rsid w:val="4BEC1766"/>
    <w:rsid w:val="4C224BFA"/>
    <w:rsid w:val="4C650094"/>
    <w:rsid w:val="4D110D1B"/>
    <w:rsid w:val="4DA60964"/>
    <w:rsid w:val="4DAB40F0"/>
    <w:rsid w:val="4F891FE9"/>
    <w:rsid w:val="4FB1539E"/>
    <w:rsid w:val="50052A51"/>
    <w:rsid w:val="52133DDD"/>
    <w:rsid w:val="529B7264"/>
    <w:rsid w:val="52CD3295"/>
    <w:rsid w:val="52F05AF2"/>
    <w:rsid w:val="56921A85"/>
    <w:rsid w:val="56A3467A"/>
    <w:rsid w:val="59D96A98"/>
    <w:rsid w:val="59EC3BA2"/>
    <w:rsid w:val="5A522FD2"/>
    <w:rsid w:val="5BBA55DA"/>
    <w:rsid w:val="5C313AEE"/>
    <w:rsid w:val="5E565A8E"/>
    <w:rsid w:val="60387B56"/>
    <w:rsid w:val="608A4A37"/>
    <w:rsid w:val="62330B5C"/>
    <w:rsid w:val="62A10094"/>
    <w:rsid w:val="63253C81"/>
    <w:rsid w:val="6493288D"/>
    <w:rsid w:val="65474383"/>
    <w:rsid w:val="657D1B52"/>
    <w:rsid w:val="65F853C2"/>
    <w:rsid w:val="67A60A5B"/>
    <w:rsid w:val="67CF3DEB"/>
    <w:rsid w:val="67D068B1"/>
    <w:rsid w:val="68FF6BAB"/>
    <w:rsid w:val="6900148E"/>
    <w:rsid w:val="696769E8"/>
    <w:rsid w:val="69C91440"/>
    <w:rsid w:val="6A1C6093"/>
    <w:rsid w:val="6C2733E7"/>
    <w:rsid w:val="6C6B0957"/>
    <w:rsid w:val="6DF14299"/>
    <w:rsid w:val="6E3B25AB"/>
    <w:rsid w:val="6E55366C"/>
    <w:rsid w:val="6F347726"/>
    <w:rsid w:val="70FA499F"/>
    <w:rsid w:val="73BE3A62"/>
    <w:rsid w:val="755271FF"/>
    <w:rsid w:val="75C22E54"/>
    <w:rsid w:val="75D45D5F"/>
    <w:rsid w:val="76701532"/>
    <w:rsid w:val="7789093C"/>
    <w:rsid w:val="7AD65B35"/>
    <w:rsid w:val="7B3D3E06"/>
    <w:rsid w:val="7BAD3B18"/>
    <w:rsid w:val="7D733B0F"/>
    <w:rsid w:val="7E0C3EC4"/>
    <w:rsid w:val="7E490D14"/>
    <w:rsid w:val="7E89659A"/>
    <w:rsid w:val="7EE12CFA"/>
    <w:rsid w:val="7F1E5CFC"/>
    <w:rsid w:val="BFBF8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qFormat="1" w:unhideWhenUsed="0" w:uiPriority="99" w:semiHidden="0" w:name="Block Text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lock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annotation reference"/>
    <w:basedOn w:val="11"/>
    <w:qFormat/>
    <w:uiPriority w:val="99"/>
    <w:rPr>
      <w:rFonts w:cs="Times New Roman"/>
      <w:sz w:val="21"/>
    </w:rPr>
  </w:style>
  <w:style w:type="character" w:customStyle="1" w:styleId="14">
    <w:name w:val="Comment Text Char"/>
    <w:basedOn w:val="11"/>
    <w:link w:val="2"/>
    <w:semiHidden/>
    <w:qFormat/>
    <w:locked/>
    <w:uiPriority w:val="99"/>
    <w:rPr>
      <w:rFonts w:cs="Times New Roman"/>
      <w:kern w:val="2"/>
      <w:sz w:val="24"/>
    </w:rPr>
  </w:style>
  <w:style w:type="character" w:customStyle="1" w:styleId="15">
    <w:name w:val="Date Char"/>
    <w:basedOn w:val="11"/>
    <w:link w:val="4"/>
    <w:semiHidden/>
    <w:qFormat/>
    <w:locked/>
    <w:uiPriority w:val="99"/>
    <w:rPr>
      <w:rFonts w:cs="Times New Roman"/>
      <w:kern w:val="2"/>
      <w:sz w:val="24"/>
    </w:rPr>
  </w:style>
  <w:style w:type="character" w:customStyle="1" w:styleId="16">
    <w:name w:val="Balloon Text Char"/>
    <w:basedOn w:val="11"/>
    <w:link w:val="5"/>
    <w:semiHidden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Footer Char"/>
    <w:basedOn w:val="11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18">
    <w:name w:val="Header Char"/>
    <w:basedOn w:val="11"/>
    <w:link w:val="7"/>
    <w:semiHidden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Comment Subject Char"/>
    <w:basedOn w:val="14"/>
    <w:link w:val="8"/>
    <w:semiHidden/>
    <w:qFormat/>
    <w:locked/>
    <w:uiPriority w:val="99"/>
    <w:rPr>
      <w:b/>
      <w:bCs/>
      <w:szCs w:val="24"/>
    </w:rPr>
  </w:style>
  <w:style w:type="character" w:customStyle="1" w:styleId="20">
    <w:name w:val="highlight"/>
    <w:basedOn w:val="11"/>
    <w:qFormat/>
    <w:uiPriority w:val="99"/>
    <w:rPr>
      <w:rFonts w:cs="Times New Roman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fontstyle01"/>
    <w:basedOn w:val="11"/>
    <w:qFormat/>
    <w:uiPriority w:val="99"/>
    <w:rPr>
      <w:rFonts w:ascii="FzBookMaker7DlFont70536871171" w:hAnsi="FzBookMaker7DlFont70536871171" w:cs="Times New Roman"/>
      <w:color w:val="000000"/>
      <w:sz w:val="20"/>
      <w:szCs w:val="20"/>
    </w:rPr>
  </w:style>
  <w:style w:type="character" w:customStyle="1" w:styleId="23">
    <w:name w:val="fontstyle11"/>
    <w:basedOn w:val="11"/>
    <w:qFormat/>
    <w:uiPriority w:val="99"/>
    <w:rPr>
      <w:rFonts w:ascii="FzBookMaker11DlFont110536871175" w:hAnsi="FzBookMaker11DlFont110536871175" w:cs="Times New Roman"/>
      <w:color w:val="000000"/>
      <w:sz w:val="20"/>
      <w:szCs w:val="20"/>
    </w:rPr>
  </w:style>
  <w:style w:type="character" w:customStyle="1" w:styleId="24">
    <w:name w:val="fontstyle21"/>
    <w:basedOn w:val="11"/>
    <w:qFormat/>
    <w:uiPriority w:val="99"/>
    <w:rPr>
      <w:rFonts w:ascii="FzBookMaker2DlFont20536871173" w:hAnsi="FzBookMaker2DlFont20536871173" w:cs="Times New Roman"/>
      <w:color w:val="000000"/>
      <w:sz w:val="20"/>
      <w:szCs w:val="20"/>
    </w:rPr>
  </w:style>
  <w:style w:type="paragraph" w:customStyle="1" w:styleId="2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Legend (Beijing) Limited</Company>
  <Pages>6</Pages>
  <Words>1646</Words>
  <Characters>2623</Characters>
  <Lines>0</Lines>
  <Paragraphs>0</Paragraphs>
  <TotalTime>0</TotalTime>
  <ScaleCrop>false</ScaleCrop>
  <LinksUpToDate>false</LinksUpToDate>
  <CharactersWithSpaces>2749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2021-03-26T19:29:00Z</dcterms:created>
  <dc:creator>Legend User</dc:creator>
  <cp:lastModifiedBy>伊扎提比·热西丁</cp:lastModifiedBy>
  <cp:lastPrinted>2026-04-22T10:18:11Z</cp:lastPrinted>
  <dcterms:modified xsi:type="dcterms:W3CDTF">2026-04-22T10:18:14Z</dcterms:modified>
  <dc:title>××产品质量监督抽查实施细则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1116711C07FB491B89529F890B388320_13</vt:lpwstr>
  </property>
  <property fmtid="{D5CDD505-2E9C-101B-9397-08002B2CF9AE}" pid="4" name="KSOTemplateDocerSaveRecord">
    <vt:lpwstr>eyJoZGlkIjoiMzEwNTM5NzYwMDRjMzkwZTVkZjY2ODkwMGIxNGU0OTUiLCJ1c2VySWQiOiIzODA3NDc4MDQifQ==</vt:lpwstr>
  </property>
</Properties>
</file>