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Layout w:type="autofit"/>
        <w:tblCellMar>
          <w:top w:w="0" w:type="dxa"/>
          <w:left w:w="108" w:type="dxa"/>
          <w:bottom w:w="0" w:type="dxa"/>
          <w:right w:w="108" w:type="dxa"/>
        </w:tblCellMar>
      </w:tblPr>
      <w:tblGrid>
        <w:gridCol w:w="9173"/>
      </w:tblGrid>
      <w:tr w14:paraId="31AA1C77">
        <w:tblPrEx>
          <w:tblCellMar>
            <w:top w:w="0" w:type="dxa"/>
            <w:left w:w="108" w:type="dxa"/>
            <w:bottom w:w="0" w:type="dxa"/>
            <w:right w:w="108" w:type="dxa"/>
          </w:tblCellMar>
        </w:tblPrEx>
        <w:trPr>
          <w:trHeight w:val="1085" w:hRule="atLeast"/>
        </w:trPr>
        <w:tc>
          <w:tcPr>
            <w:tcW w:w="9173" w:type="dxa"/>
          </w:tcPr>
          <w:p w14:paraId="0427F852">
            <w:pPr>
              <w:spacing w:line="360" w:lineRule="auto"/>
              <w:jc w:val="center"/>
              <w:rPr>
                <w:rFonts w:ascii="黑体" w:hAnsi="宋体" w:eastAsia="黑体"/>
                <w:spacing w:val="20"/>
                <w:w w:val="105"/>
                <w:sz w:val="48"/>
                <w:szCs w:val="48"/>
              </w:rPr>
            </w:pPr>
            <w: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69ACD7B0">
      <w:pPr>
        <w:adjustRightInd w:val="0"/>
        <w:spacing w:line="480" w:lineRule="exact"/>
        <w:jc w:val="center"/>
        <w:rPr>
          <w:rFonts w:ascii="黑体" w:hAnsi="宋体" w:eastAsia="黑体"/>
          <w:b/>
          <w:sz w:val="52"/>
          <w:szCs w:val="52"/>
        </w:rPr>
      </w:pPr>
    </w:p>
    <w:p w14:paraId="086EE0A2">
      <w:pPr>
        <w:adjustRightInd w:val="0"/>
        <w:spacing w:line="480" w:lineRule="exact"/>
        <w:jc w:val="center"/>
        <w:rPr>
          <w:rFonts w:ascii="黑体" w:hAnsi="宋体" w:eastAsia="黑体"/>
          <w:b/>
          <w:sz w:val="52"/>
          <w:szCs w:val="52"/>
        </w:rPr>
      </w:pPr>
    </w:p>
    <w:p w14:paraId="74B68C4D">
      <w:pPr>
        <w:adjustRightInd w:val="0"/>
        <w:spacing w:line="480" w:lineRule="exact"/>
        <w:jc w:val="center"/>
        <w:rPr>
          <w:rFonts w:ascii="黑体" w:hAnsi="宋体" w:eastAsia="黑体"/>
          <w:b/>
          <w:sz w:val="52"/>
          <w:szCs w:val="52"/>
        </w:rPr>
      </w:pPr>
    </w:p>
    <w:p w14:paraId="001602A2">
      <w:pPr>
        <w:adjustRightInd w:val="0"/>
        <w:spacing w:line="480" w:lineRule="exact"/>
        <w:jc w:val="center"/>
        <w:rPr>
          <w:rFonts w:ascii="黑体" w:hAnsi="宋体" w:eastAsia="黑体"/>
          <w:b/>
          <w:sz w:val="52"/>
          <w:szCs w:val="52"/>
        </w:rPr>
      </w:pPr>
    </w:p>
    <w:p w14:paraId="47C7D984">
      <w:pPr>
        <w:adjustRightInd w:val="0"/>
        <w:spacing w:line="480" w:lineRule="exact"/>
        <w:jc w:val="center"/>
        <w:rPr>
          <w:rFonts w:ascii="黑体" w:hAnsi="宋体" w:eastAsia="黑体"/>
          <w:b/>
          <w:sz w:val="52"/>
          <w:szCs w:val="52"/>
        </w:rPr>
      </w:pPr>
    </w:p>
    <w:p w14:paraId="39449733">
      <w:pPr>
        <w:adjustRightInd w:val="0"/>
        <w:spacing w:line="480" w:lineRule="exact"/>
        <w:jc w:val="center"/>
        <w:rPr>
          <w:rFonts w:ascii="黑体" w:hAnsi="宋体" w:eastAsia="黑体"/>
          <w:b/>
          <w:sz w:val="52"/>
          <w:szCs w:val="52"/>
        </w:rPr>
      </w:pPr>
    </w:p>
    <w:p w14:paraId="76EF25B6">
      <w:pPr>
        <w:adjustRightInd w:val="0"/>
        <w:spacing w:line="360" w:lineRule="auto"/>
        <w:jc w:val="center"/>
        <w:rPr>
          <w:rFonts w:ascii="黑体" w:hAnsi="宋体" w:eastAsia="黑体"/>
          <w:b/>
          <w:sz w:val="52"/>
          <w:szCs w:val="52"/>
        </w:rPr>
      </w:pPr>
    </w:p>
    <w:p w14:paraId="243834A8">
      <w:pPr>
        <w:keepNext w:val="0"/>
        <w:keepLines w:val="0"/>
        <w:pageBreakBefore w:val="0"/>
        <w:widowControl w:val="0"/>
        <w:tabs>
          <w:tab w:val="left" w:pos="6930"/>
        </w:tabs>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sz w:val="44"/>
          <w:szCs w:val="44"/>
          <w:highlight w:val="none"/>
          <w:lang w:val="en-US" w:eastAsia="zh-CN"/>
        </w:rPr>
      </w:pPr>
      <w:r>
        <w:rPr>
          <w:rFonts w:hint="eastAsia" w:ascii="黑体" w:hAnsi="黑体" w:eastAsia="黑体" w:cs="黑体"/>
          <w:b/>
          <w:sz w:val="44"/>
          <w:szCs w:val="44"/>
          <w:highlight w:val="none"/>
        </w:rPr>
        <w:t>202</w:t>
      </w:r>
      <w:r>
        <w:rPr>
          <w:rFonts w:hint="eastAsia" w:ascii="黑体" w:hAnsi="黑体" w:eastAsia="黑体" w:cs="黑体"/>
          <w:b/>
          <w:sz w:val="44"/>
          <w:szCs w:val="44"/>
          <w:highlight w:val="none"/>
          <w:lang w:val="en-US" w:eastAsia="zh-CN"/>
        </w:rPr>
        <w:t>6</w:t>
      </w:r>
      <w:r>
        <w:rPr>
          <w:rFonts w:hint="eastAsia" w:ascii="黑体" w:hAnsi="黑体" w:eastAsia="黑体" w:cs="黑体"/>
          <w:b/>
          <w:sz w:val="44"/>
          <w:szCs w:val="44"/>
          <w:highlight w:val="none"/>
        </w:rPr>
        <w:t>年</w:t>
      </w:r>
      <w:r>
        <w:rPr>
          <w:rFonts w:hint="eastAsia" w:ascii="黑体" w:hAnsi="黑体" w:eastAsia="黑体" w:cs="黑体"/>
          <w:b/>
          <w:sz w:val="44"/>
          <w:szCs w:val="44"/>
          <w:highlight w:val="none"/>
          <w:lang w:eastAsia="zh-CN"/>
        </w:rPr>
        <w:t>伊犁哈萨克自治州</w:t>
      </w:r>
      <w:r>
        <w:rPr>
          <w:rFonts w:hint="eastAsia" w:ascii="黑体" w:hAnsi="黑体" w:eastAsia="黑体" w:cs="黑体"/>
          <w:b/>
          <w:sz w:val="44"/>
          <w:szCs w:val="44"/>
          <w:highlight w:val="none"/>
          <w:lang w:val="en-US" w:eastAsia="zh-CN"/>
        </w:rPr>
        <w:t>混凝土路面砖</w:t>
      </w:r>
    </w:p>
    <w:p w14:paraId="188C802A">
      <w:pPr>
        <w:keepNext w:val="0"/>
        <w:keepLines w:val="0"/>
        <w:pageBreakBefore w:val="0"/>
        <w:widowControl w:val="0"/>
        <w:tabs>
          <w:tab w:val="left" w:pos="6930"/>
        </w:tabs>
        <w:kinsoku/>
        <w:wordWrap/>
        <w:overflowPunct/>
        <w:topLinePunct w:val="0"/>
        <w:autoSpaceDE/>
        <w:autoSpaceDN/>
        <w:bidi w:val="0"/>
        <w:adjustRightInd w:val="0"/>
        <w:snapToGrid w:val="0"/>
        <w:spacing w:line="600" w:lineRule="exact"/>
        <w:jc w:val="center"/>
        <w:textAlignment w:val="auto"/>
        <w:rPr>
          <w:rFonts w:hint="default" w:ascii="黑体" w:hAnsi="黑体" w:eastAsia="黑体" w:cs="黑体"/>
          <w:b/>
          <w:bCs/>
          <w:sz w:val="44"/>
          <w:szCs w:val="44"/>
          <w:lang w:val="en-US"/>
        </w:rPr>
      </w:pPr>
      <w:r>
        <w:rPr>
          <w:rFonts w:hint="eastAsia" w:ascii="黑体" w:hAnsi="黑体" w:eastAsia="黑体" w:cs="黑体"/>
          <w:b/>
          <w:sz w:val="44"/>
          <w:szCs w:val="44"/>
          <w:highlight w:val="none"/>
        </w:rPr>
        <w:t>产品质量监督抽查</w:t>
      </w:r>
      <w:r>
        <w:rPr>
          <w:rFonts w:hint="eastAsia" w:ascii="黑体" w:hAnsi="黑体" w:eastAsia="黑体" w:cs="黑体"/>
          <w:b/>
          <w:bCs/>
          <w:sz w:val="44"/>
          <w:szCs w:val="44"/>
          <w:highlight w:val="none"/>
        </w:rPr>
        <w:t>实施细则</w:t>
      </w:r>
    </w:p>
    <w:p w14:paraId="6FDB899D">
      <w:pPr>
        <w:tabs>
          <w:tab w:val="left" w:pos="6930"/>
        </w:tabs>
        <w:adjustRightInd w:val="0"/>
        <w:spacing w:line="360" w:lineRule="auto"/>
        <w:jc w:val="left"/>
        <w:rPr>
          <w:rFonts w:ascii="黑体" w:hAnsi="黑体" w:eastAsia="黑体" w:cs="黑体"/>
          <w:b/>
          <w:bCs/>
          <w:sz w:val="44"/>
          <w:szCs w:val="44"/>
        </w:rPr>
      </w:pPr>
    </w:p>
    <w:p w14:paraId="3998D562">
      <w:pPr>
        <w:tabs>
          <w:tab w:val="left" w:pos="6930"/>
        </w:tabs>
        <w:adjustRightInd w:val="0"/>
        <w:spacing w:line="480" w:lineRule="exact"/>
        <w:jc w:val="center"/>
        <w:rPr>
          <w:rFonts w:ascii="黑体" w:hAnsi="宋体" w:eastAsia="黑体"/>
          <w:b/>
          <w:sz w:val="52"/>
          <w:szCs w:val="52"/>
        </w:rPr>
      </w:pPr>
    </w:p>
    <w:p w14:paraId="376AAFFB">
      <w:pPr>
        <w:adjustRightInd w:val="0"/>
        <w:spacing w:line="480" w:lineRule="exact"/>
        <w:jc w:val="center"/>
        <w:rPr>
          <w:rFonts w:ascii="黑体" w:hAnsi="宋体" w:eastAsia="黑体"/>
          <w:b/>
          <w:sz w:val="52"/>
          <w:szCs w:val="52"/>
        </w:rPr>
      </w:pPr>
    </w:p>
    <w:p w14:paraId="562CF131">
      <w:pPr>
        <w:adjustRightInd w:val="0"/>
        <w:spacing w:line="480" w:lineRule="exact"/>
        <w:jc w:val="center"/>
        <w:rPr>
          <w:rFonts w:ascii="黑体" w:hAnsi="宋体" w:eastAsia="黑体"/>
          <w:b/>
          <w:sz w:val="52"/>
          <w:szCs w:val="52"/>
        </w:rPr>
      </w:pPr>
    </w:p>
    <w:p w14:paraId="691DF0EB">
      <w:pPr>
        <w:adjustRightInd w:val="0"/>
        <w:spacing w:line="480" w:lineRule="exact"/>
        <w:jc w:val="center"/>
        <w:rPr>
          <w:rFonts w:ascii="黑体" w:hAnsi="宋体" w:eastAsia="黑体"/>
          <w:b/>
          <w:sz w:val="52"/>
          <w:szCs w:val="52"/>
        </w:rPr>
      </w:pPr>
    </w:p>
    <w:p w14:paraId="60DD7B64">
      <w:pPr>
        <w:adjustRightInd w:val="0"/>
        <w:spacing w:line="480" w:lineRule="exact"/>
        <w:jc w:val="center"/>
        <w:rPr>
          <w:rFonts w:ascii="黑体" w:hAnsi="宋体" w:eastAsia="黑体"/>
          <w:b/>
          <w:sz w:val="52"/>
          <w:szCs w:val="52"/>
        </w:rPr>
      </w:pPr>
    </w:p>
    <w:p w14:paraId="5067F0EE">
      <w:pPr>
        <w:adjustRightInd w:val="0"/>
        <w:spacing w:line="480" w:lineRule="exact"/>
        <w:jc w:val="center"/>
        <w:rPr>
          <w:rFonts w:ascii="黑体" w:hAnsi="宋体" w:eastAsia="黑体"/>
          <w:sz w:val="52"/>
          <w:szCs w:val="52"/>
        </w:rPr>
      </w:pPr>
    </w:p>
    <w:p w14:paraId="7FF80E20">
      <w:pPr>
        <w:adjustRightInd w:val="0"/>
        <w:spacing w:line="480" w:lineRule="exact"/>
        <w:jc w:val="center"/>
        <w:rPr>
          <w:rFonts w:ascii="黑体" w:hAnsi="宋体" w:eastAsia="黑体"/>
          <w:sz w:val="52"/>
          <w:szCs w:val="52"/>
        </w:rPr>
      </w:pPr>
    </w:p>
    <w:p w14:paraId="7D1EC774">
      <w:pPr>
        <w:adjustRightInd w:val="0"/>
        <w:spacing w:line="480" w:lineRule="exact"/>
        <w:rPr>
          <w:rFonts w:ascii="黑体" w:hAnsi="宋体" w:eastAsia="黑体"/>
          <w:b/>
          <w:sz w:val="52"/>
          <w:szCs w:val="52"/>
        </w:rPr>
      </w:pPr>
    </w:p>
    <w:p w14:paraId="3410006A">
      <w:pPr>
        <w:adjustRightInd w:val="0"/>
        <w:spacing w:line="480" w:lineRule="exact"/>
        <w:rPr>
          <w:rFonts w:ascii="黑体" w:hAnsi="宋体" w:eastAsia="黑体"/>
          <w:b/>
          <w:sz w:val="52"/>
          <w:szCs w:val="52"/>
        </w:rPr>
      </w:pPr>
    </w:p>
    <w:p w14:paraId="429FA196">
      <w:pPr>
        <w:adjustRightInd w:val="0"/>
        <w:spacing w:line="480" w:lineRule="exact"/>
        <w:rPr>
          <w:rFonts w:ascii="黑体" w:hAnsi="宋体" w:eastAsia="黑体"/>
          <w:b/>
          <w:sz w:val="52"/>
          <w:szCs w:val="52"/>
        </w:rPr>
      </w:pPr>
    </w:p>
    <w:p w14:paraId="15BE944F">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发布</w:t>
      </w:r>
      <w:r>
        <w:rPr>
          <w:rFonts w:ascii="黑体" w:hAnsi="黑体" w:eastAsia="黑体" w:cs="黑体"/>
          <w:bCs/>
          <w:sz w:val="24"/>
        </w:rPr>
        <w:t xml:space="preserve">                                         </w:t>
      </w:r>
      <w:r>
        <w:rPr>
          <w:rFonts w:hint="eastAsia" w:ascii="黑体" w:hAnsi="黑体" w:eastAsia="黑体" w:cs="黑体"/>
          <w:bCs/>
          <w:sz w:val="24"/>
          <w:lang w:eastAsia="zh-CN"/>
        </w:rPr>
        <w:t>202</w:t>
      </w:r>
      <w:r>
        <w:rPr>
          <w:rFonts w:hint="eastAsia" w:ascii="黑体" w:hAnsi="黑体" w:eastAsia="黑体" w:cs="黑体"/>
          <w:bCs/>
          <w:sz w:val="24"/>
          <w:lang w:val="en-US" w:eastAsia="zh-CN"/>
        </w:rPr>
        <w:t>6</w:t>
      </w:r>
      <w:r>
        <w:rPr>
          <w:rFonts w:ascii="黑体" w:hAnsi="黑体" w:eastAsia="黑体" w:cs="黑体"/>
          <w:bCs/>
          <w:sz w:val="24"/>
        </w:rPr>
        <w:t>-</w:t>
      </w:r>
      <w:r>
        <w:rPr>
          <w:rFonts w:hint="eastAsia" w:ascii="黑体" w:hAnsi="黑体" w:eastAsia="黑体" w:cs="黑体"/>
          <w:bCs/>
          <w:sz w:val="24"/>
          <w:lang w:val="en-US" w:eastAsia="zh-CN"/>
        </w:rPr>
        <w:t>00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14:paraId="1E696A96">
      <w:pPr>
        <w:spacing w:line="360" w:lineRule="auto"/>
        <w:jc w:val="center"/>
        <w:rPr>
          <w:rFonts w:ascii="黑体" w:hAnsi="宋体" w:eastAsia="黑体" w:cs="黑体"/>
          <w:bCs/>
          <w:sz w:val="32"/>
          <w:szCs w:val="32"/>
        </w:rPr>
        <w:sectPr>
          <w:footerReference r:id="rId6" w:type="first"/>
          <w:headerReference r:id="rId3" w:type="default"/>
          <w:footerReference r:id="rId4" w:type="default"/>
          <w:footerReference r:id="rId5" w:type="even"/>
          <w:pgSz w:w="11906" w:h="16838"/>
          <w:pgMar w:top="1985" w:right="1361" w:bottom="1361" w:left="1588" w:header="851" w:footer="992" w:gutter="0"/>
          <w:pgNumType w:start="1"/>
          <w:cols w:space="720" w:num="1"/>
          <w:titlePg/>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29845</wp:posOffset>
                </wp:positionV>
                <wp:extent cx="5676265" cy="0"/>
                <wp:effectExtent l="0" t="7620" r="635" b="11430"/>
                <wp:wrapNone/>
                <wp:docPr id="2" name="自选图形 3"/>
                <wp:cNvGraphicFramePr/>
                <a:graphic xmlns:a="http://schemas.openxmlformats.org/drawingml/2006/main">
                  <a:graphicData uri="http://schemas.microsoft.com/office/word/2010/wordprocessingShape">
                    <wps:wsp>
                      <wps:cNvCnPr/>
                      <wps:spPr>
                        <a:xfrm>
                          <a:off x="0" y="0"/>
                          <a:ext cx="567626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46.95pt;z-index:251661312;mso-width-relative:page;mso-height-relative:page;" filled="f" stroked="t" coordsize="21600,21600" o:gfxdata="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4551gAAAAcBAAAPAAAAAAAAAAEAIAAAACIAAABkcnMvZG93bnJldi54bWxQSwEC&#10;FAAUAAAACACHTuJAI8A4pvYBAADkAwAADgAAAAAAAAABACAAAAAlAQAAZHJzL2Uyb0RvYy54bWxQ&#10;SwUGAAAAAAYABgBZAQAAjQU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5805AC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仿宋" w:eastAsia="方正小标宋简体" w:cs="方正仿宋简体"/>
          <w:b/>
          <w:color w:val="000000"/>
          <w:sz w:val="32"/>
          <w:szCs w:val="32"/>
          <w:highlight w:val="none"/>
          <w:lang w:val="en-US" w:eastAsia="zh-CN"/>
        </w:rPr>
      </w:pPr>
      <w:r>
        <w:rPr>
          <w:rFonts w:hint="eastAsia" w:ascii="方正小标宋简体" w:hAnsi="仿宋" w:eastAsia="方正小标宋简体" w:cs="方正仿宋简体"/>
          <w:b/>
          <w:color w:val="000000"/>
          <w:sz w:val="32"/>
          <w:szCs w:val="32"/>
          <w:highlight w:val="none"/>
          <w:lang w:eastAsia="zh-CN"/>
        </w:rPr>
        <w:t>202</w:t>
      </w:r>
      <w:r>
        <w:rPr>
          <w:rFonts w:hint="eastAsia" w:ascii="方正小标宋简体" w:hAnsi="仿宋" w:eastAsia="方正小标宋简体" w:cs="方正仿宋简体"/>
          <w:b/>
          <w:color w:val="000000"/>
          <w:sz w:val="32"/>
          <w:szCs w:val="32"/>
          <w:highlight w:val="none"/>
          <w:lang w:val="en-US" w:eastAsia="zh-CN"/>
        </w:rPr>
        <w:t>6</w:t>
      </w:r>
      <w:r>
        <w:rPr>
          <w:rFonts w:hint="eastAsia" w:ascii="方正小标宋简体" w:hAnsi="仿宋" w:eastAsia="方正小标宋简体" w:cs="方正仿宋简体"/>
          <w:b/>
          <w:color w:val="000000"/>
          <w:sz w:val="32"/>
          <w:szCs w:val="32"/>
          <w:highlight w:val="none"/>
        </w:rPr>
        <w:t>年</w:t>
      </w:r>
      <w:r>
        <w:rPr>
          <w:rFonts w:hint="eastAsia" w:ascii="方正小标宋简体" w:hAnsi="仿宋" w:eastAsia="方正小标宋简体" w:cs="方正仿宋简体"/>
          <w:b/>
          <w:color w:val="000000"/>
          <w:sz w:val="32"/>
          <w:szCs w:val="32"/>
          <w:highlight w:val="none"/>
          <w:lang w:eastAsia="zh-CN"/>
        </w:rPr>
        <w:t>伊犁哈萨克自治州</w:t>
      </w:r>
      <w:r>
        <w:rPr>
          <w:rFonts w:hint="eastAsia" w:ascii="方正小标宋简体" w:hAnsi="仿宋" w:eastAsia="方正小标宋简体" w:cs="方正仿宋简体"/>
          <w:b/>
          <w:color w:val="000000"/>
          <w:sz w:val="32"/>
          <w:szCs w:val="32"/>
          <w:highlight w:val="none"/>
          <w:lang w:val="en-US" w:eastAsia="zh-CN"/>
        </w:rPr>
        <w:t>混凝土路面砖</w:t>
      </w:r>
    </w:p>
    <w:p w14:paraId="63F362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方正小标宋简体" w:hAnsi="仿宋" w:eastAsia="方正小标宋简体" w:cs="方正仿宋简体"/>
          <w:b/>
          <w:color w:val="000000"/>
          <w:sz w:val="32"/>
          <w:szCs w:val="32"/>
          <w:highlight w:val="none"/>
        </w:rPr>
      </w:pPr>
      <w:r>
        <w:rPr>
          <w:rFonts w:hint="eastAsia" w:ascii="方正小标宋简体" w:hAnsi="仿宋" w:eastAsia="方正小标宋简体" w:cs="方正仿宋简体"/>
          <w:b/>
          <w:color w:val="000000"/>
          <w:sz w:val="32"/>
          <w:szCs w:val="32"/>
          <w:highlight w:val="none"/>
        </w:rPr>
        <w:t>产品质量监督抽查实施细则</w:t>
      </w:r>
    </w:p>
    <w:p w14:paraId="1560F54F">
      <w:pPr>
        <w:adjustRightInd w:val="0"/>
        <w:snapToGrid w:val="0"/>
        <w:spacing w:line="360" w:lineRule="auto"/>
        <w:jc w:val="center"/>
        <w:rPr>
          <w:rFonts w:ascii="方正小标宋简体" w:hAnsi="仿宋" w:eastAsia="方正小标宋简体" w:cs="方正仿宋简体"/>
          <w:sz w:val="32"/>
          <w:szCs w:val="32"/>
          <w:highlight w:val="none"/>
        </w:rPr>
      </w:pPr>
    </w:p>
    <w:p w14:paraId="07480C25">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r>
        <w:rPr>
          <w:rFonts w:hint="eastAsia" w:ascii="黑体" w:hAnsi="黑体" w:eastAsia="黑体"/>
          <w:b/>
          <w:szCs w:val="21"/>
          <w:lang w:val="en-US" w:eastAsia="zh-CN"/>
        </w:rPr>
        <w:t xml:space="preserve"> </w:t>
      </w:r>
    </w:p>
    <w:p w14:paraId="7B572B89">
      <w:pPr>
        <w:pStyle w:val="26"/>
        <w:keepNext w:val="0"/>
        <w:keepLines w:val="0"/>
        <w:pageBreakBefore w:val="0"/>
        <w:widowControl/>
        <w:numPr>
          <w:ilvl w:val="1"/>
          <w:numId w:val="1"/>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抽查产品及抽样领域</w:t>
      </w:r>
    </w:p>
    <w:p w14:paraId="71FF5972">
      <w:pPr>
        <w:pStyle w:val="26"/>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抽查产品为</w:t>
      </w:r>
      <w:r>
        <w:rPr>
          <w:rFonts w:hint="eastAsia" w:ascii="宋体" w:hAnsi="宋体" w:eastAsia="宋体" w:cs="宋体"/>
          <w:b w:val="0"/>
          <w:bCs/>
          <w:color w:val="000000"/>
          <w:sz w:val="21"/>
          <w:szCs w:val="21"/>
          <w:highlight w:val="none"/>
          <w:lang w:val="en-US" w:eastAsia="zh-CN"/>
        </w:rPr>
        <w:t>混凝土路面砖</w:t>
      </w:r>
      <w:r>
        <w:rPr>
          <w:rFonts w:hint="eastAsia" w:ascii="宋体" w:hAnsi="宋体" w:eastAsia="宋体" w:cs="宋体"/>
          <w:sz w:val="21"/>
          <w:szCs w:val="21"/>
          <w:highlight w:val="none"/>
        </w:rPr>
        <w:t>。</w:t>
      </w:r>
    </w:p>
    <w:p w14:paraId="264A2B8A">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hAnsi="宋体" w:cs="宋体"/>
          <w:sz w:val="21"/>
          <w:szCs w:val="21"/>
          <w:highlight w:val="none"/>
        </w:rPr>
      </w:pPr>
      <w:r>
        <w:rPr>
          <w:rFonts w:hint="eastAsia" w:ascii="宋体" w:hAnsi="宋体" w:eastAsia="宋体" w:cs="宋体"/>
          <w:sz w:val="21"/>
          <w:szCs w:val="21"/>
          <w:highlight w:val="none"/>
        </w:rPr>
        <w:t>抽样领域为</w:t>
      </w:r>
      <w:r>
        <w:rPr>
          <w:rFonts w:hint="eastAsia" w:ascii="宋体" w:hAnsi="宋体" w:cs="宋体"/>
          <w:sz w:val="21"/>
          <w:szCs w:val="21"/>
          <w:highlight w:val="none"/>
          <w:lang w:eastAsia="zh-CN"/>
        </w:rPr>
        <w:t>伊犁哈萨克自治州</w:t>
      </w:r>
      <w:r>
        <w:rPr>
          <w:rFonts w:hint="eastAsia" w:ascii="宋体" w:hAnsi="宋体" w:eastAsia="宋体" w:cs="宋体"/>
          <w:sz w:val="21"/>
          <w:szCs w:val="21"/>
          <w:highlight w:val="none"/>
          <w:lang w:val="en-US" w:eastAsia="zh-CN"/>
        </w:rPr>
        <w:t>生产</w:t>
      </w:r>
      <w:r>
        <w:rPr>
          <w:rFonts w:hint="eastAsia" w:ascii="宋体" w:hAnsi="宋体" w:eastAsia="宋体" w:cs="宋体"/>
          <w:sz w:val="21"/>
          <w:szCs w:val="21"/>
          <w:highlight w:val="none"/>
        </w:rPr>
        <w:t>领域。</w:t>
      </w:r>
    </w:p>
    <w:p w14:paraId="365F393D">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1.2 抽样方法、基数及数量</w:t>
      </w:r>
    </w:p>
    <w:p w14:paraId="4C37E0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8"/>
          <w:highlight w:val="none"/>
        </w:rPr>
      </w:pPr>
      <w:r>
        <w:rPr>
          <w:rFonts w:hint="eastAsia" w:ascii="宋体" w:hAnsi="宋体" w:eastAsia="宋体" w:cs="宋体"/>
          <w:szCs w:val="28"/>
          <w:highlight w:val="none"/>
        </w:rPr>
        <w:t>以随机抽样的方式在被抽样生产者待销产品中抽取。</w:t>
      </w:r>
    </w:p>
    <w:p w14:paraId="1A5719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8"/>
          <w:highlight w:val="none"/>
        </w:rPr>
      </w:pPr>
      <w:r>
        <w:rPr>
          <w:rFonts w:hint="eastAsia" w:ascii="宋体" w:hAnsi="宋体" w:eastAsia="宋体" w:cs="宋体"/>
          <w:szCs w:val="28"/>
          <w:highlight w:val="none"/>
        </w:rPr>
        <w:t>随机数</w:t>
      </w:r>
      <w:r>
        <w:rPr>
          <w:rFonts w:hint="eastAsia" w:ascii="宋体" w:hAnsi="宋体" w:eastAsia="宋体" w:cs="宋体"/>
          <w:szCs w:val="28"/>
          <w:highlight w:val="none"/>
          <w:lang w:eastAsia="zh-CN"/>
        </w:rPr>
        <w:t>一般可使用随机数表等方法产生</w:t>
      </w:r>
      <w:r>
        <w:rPr>
          <w:rFonts w:hint="eastAsia" w:ascii="宋体" w:hAnsi="宋体" w:eastAsia="宋体" w:cs="宋体"/>
          <w:szCs w:val="28"/>
          <w:highlight w:val="none"/>
        </w:rPr>
        <w:t>。</w:t>
      </w:r>
    </w:p>
    <w:p w14:paraId="767604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kern w:val="0"/>
          <w:szCs w:val="21"/>
        </w:rPr>
        <w:t>抽取样品应为同一生产企业生产的同品种、同规格、同级别</w:t>
      </w:r>
      <w:r>
        <w:rPr>
          <w:rFonts w:hint="eastAsia" w:ascii="宋体" w:hAnsi="宋体" w:eastAsia="宋体" w:cs="宋体"/>
          <w:kern w:val="0"/>
          <w:szCs w:val="21"/>
          <w:lang w:eastAsia="zh-CN"/>
        </w:rPr>
        <w:t>、</w:t>
      </w:r>
      <w:r>
        <w:rPr>
          <w:rFonts w:hint="eastAsia" w:ascii="宋体" w:hAnsi="宋体" w:eastAsia="宋体" w:cs="宋体"/>
          <w:color w:val="auto"/>
          <w:szCs w:val="21"/>
        </w:rPr>
        <w:t>同一强度等级</w:t>
      </w:r>
      <w:r>
        <w:rPr>
          <w:rFonts w:hint="eastAsia" w:ascii="宋体" w:hAnsi="宋体" w:eastAsia="宋体" w:cs="宋体"/>
          <w:color w:val="auto"/>
          <w:szCs w:val="21"/>
          <w:lang w:eastAsia="zh-CN"/>
        </w:rPr>
        <w:t>、</w:t>
      </w:r>
      <w:r>
        <w:rPr>
          <w:rFonts w:hint="eastAsia" w:ascii="宋体" w:hAnsi="宋体" w:eastAsia="宋体" w:cs="宋体"/>
          <w:kern w:val="0"/>
          <w:szCs w:val="21"/>
        </w:rPr>
        <w:t>同一批次的产品</w:t>
      </w:r>
      <w:r>
        <w:rPr>
          <w:rFonts w:hint="eastAsia" w:ascii="宋体" w:hAnsi="宋体" w:eastAsia="宋体" w:cs="宋体"/>
          <w:kern w:val="0"/>
          <w:szCs w:val="21"/>
          <w:lang w:eastAsia="zh-CN"/>
        </w:rPr>
        <w:t>，</w:t>
      </w:r>
      <w:r>
        <w:rPr>
          <w:rFonts w:hint="eastAsia" w:ascii="宋体" w:hAnsi="宋体" w:eastAsia="宋体" w:cs="宋体"/>
          <w:color w:val="auto"/>
          <w:szCs w:val="21"/>
        </w:rPr>
        <w:t>铺装面积3000</w:t>
      </w:r>
      <w:r>
        <w:rPr>
          <w:rFonts w:hint="eastAsia" w:ascii="宋体" w:hAnsi="宋体" w:eastAsia="宋体" w:cs="宋体"/>
          <w:color w:val="auto"/>
          <w:szCs w:val="21"/>
          <w:lang w:val="en-US" w:eastAsia="zh-CN"/>
        </w:rPr>
        <w:t>㎡</w:t>
      </w:r>
      <w:r>
        <w:rPr>
          <w:rFonts w:hint="eastAsia" w:ascii="宋体" w:hAnsi="宋体" w:eastAsia="宋体" w:cs="宋体"/>
          <w:color w:val="auto"/>
          <w:szCs w:val="21"/>
        </w:rPr>
        <w:t>为一批量，不足3 000 m²亦可按一批量计。</w:t>
      </w:r>
    </w:p>
    <w:p w14:paraId="62CE3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color w:val="000000"/>
          <w:szCs w:val="21"/>
        </w:rPr>
        <w:t>抽样数量见表1。</w:t>
      </w:r>
    </w:p>
    <w:p w14:paraId="23F6EB17">
      <w:pPr>
        <w:pStyle w:val="27"/>
        <w:spacing w:line="360" w:lineRule="auto"/>
        <w:ind w:right="42" w:rightChars="20" w:firstLine="0" w:firstLineChars="0"/>
        <w:jc w:val="center"/>
        <w:rPr>
          <w:rFonts w:hint="eastAsia" w:ascii="宋体" w:hAnsi="宋体" w:eastAsia="宋体" w:cs="宋体"/>
          <w:sz w:val="18"/>
          <w:szCs w:val="18"/>
        </w:rPr>
      </w:pPr>
      <w:r>
        <w:rPr>
          <w:rFonts w:hint="eastAsia" w:ascii="宋体" w:hAnsi="宋体" w:eastAsia="宋体" w:cs="宋体"/>
          <w:sz w:val="18"/>
          <w:szCs w:val="18"/>
        </w:rPr>
        <w:t>表1  抽查产品数量要求</w:t>
      </w:r>
    </w:p>
    <w:tbl>
      <w:tblPr>
        <w:tblStyle w:val="10"/>
        <w:tblW w:w="0" w:type="auto"/>
        <w:tblInd w:w="0" w:type="dxa"/>
        <w:tblLayout w:type="fixed"/>
        <w:tblCellMar>
          <w:top w:w="0" w:type="dxa"/>
          <w:left w:w="108" w:type="dxa"/>
          <w:bottom w:w="0" w:type="dxa"/>
          <w:right w:w="108" w:type="dxa"/>
        </w:tblCellMar>
      </w:tblPr>
      <w:tblGrid>
        <w:gridCol w:w="1584"/>
        <w:gridCol w:w="2071"/>
        <w:gridCol w:w="2243"/>
        <w:gridCol w:w="2305"/>
      </w:tblGrid>
      <w:tr w14:paraId="2315320C">
        <w:tblPrEx>
          <w:tblCellMar>
            <w:top w:w="0" w:type="dxa"/>
            <w:left w:w="108" w:type="dxa"/>
            <w:bottom w:w="0" w:type="dxa"/>
            <w:right w:w="108" w:type="dxa"/>
          </w:tblCellMar>
        </w:tblPrEx>
        <w:trPr>
          <w:trHeight w:val="454" w:hRule="atLeast"/>
          <w:tblHeader/>
        </w:trPr>
        <w:tc>
          <w:tcPr>
            <w:tcW w:w="365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742C8EA">
            <w:pPr>
              <w:widowControl/>
              <w:spacing w:line="240" w:lineRule="auto"/>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产品</w:t>
            </w:r>
          </w:p>
        </w:tc>
        <w:tc>
          <w:tcPr>
            <w:tcW w:w="2243"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292AFED2">
            <w:pPr>
              <w:widowControl/>
              <w:spacing w:line="240" w:lineRule="auto"/>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检验样品数量</w:t>
            </w:r>
          </w:p>
        </w:tc>
        <w:tc>
          <w:tcPr>
            <w:tcW w:w="230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748DD381">
            <w:pPr>
              <w:widowControl/>
              <w:spacing w:line="240" w:lineRule="auto"/>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备用样品数量</w:t>
            </w:r>
          </w:p>
        </w:tc>
      </w:tr>
      <w:tr w14:paraId="548A1D95">
        <w:tblPrEx>
          <w:tblCellMar>
            <w:top w:w="0" w:type="dxa"/>
            <w:left w:w="108" w:type="dxa"/>
            <w:bottom w:w="0" w:type="dxa"/>
            <w:right w:w="108" w:type="dxa"/>
          </w:tblCellMar>
        </w:tblPrEx>
        <w:trPr>
          <w:trHeight w:val="454" w:hRule="atLeast"/>
        </w:trPr>
        <w:tc>
          <w:tcPr>
            <w:tcW w:w="15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E3D00ED">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混凝土路面砖</w:t>
            </w:r>
          </w:p>
        </w:tc>
        <w:tc>
          <w:tcPr>
            <w:tcW w:w="207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0162913">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强度等级</w:t>
            </w:r>
          </w:p>
        </w:tc>
        <w:tc>
          <w:tcPr>
            <w:tcW w:w="224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9CB6C33">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10块</w:t>
            </w:r>
          </w:p>
        </w:tc>
        <w:tc>
          <w:tcPr>
            <w:tcW w:w="23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DB62736">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10块</w:t>
            </w:r>
          </w:p>
        </w:tc>
      </w:tr>
      <w:tr w14:paraId="2764B260">
        <w:tblPrEx>
          <w:tblCellMar>
            <w:top w:w="0" w:type="dxa"/>
            <w:left w:w="108" w:type="dxa"/>
            <w:bottom w:w="0" w:type="dxa"/>
            <w:right w:w="108" w:type="dxa"/>
          </w:tblCellMar>
        </w:tblPrEx>
        <w:trPr>
          <w:trHeight w:val="390" w:hRule="atLeast"/>
        </w:trPr>
        <w:tc>
          <w:tcPr>
            <w:tcW w:w="158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8C6F4A8">
            <w:pPr>
              <w:spacing w:line="240" w:lineRule="auto"/>
              <w:jc w:val="center"/>
              <w:rPr>
                <w:rFonts w:hint="eastAsia" w:ascii="宋体" w:hAnsi="宋体" w:eastAsia="宋体" w:cs="宋体"/>
                <w:sz w:val="18"/>
                <w:szCs w:val="18"/>
                <w:lang w:eastAsia="zh-CN"/>
              </w:rPr>
            </w:pPr>
          </w:p>
        </w:tc>
        <w:tc>
          <w:tcPr>
            <w:tcW w:w="2071"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0F14C97">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吸水率</w:t>
            </w:r>
          </w:p>
        </w:tc>
        <w:tc>
          <w:tcPr>
            <w:tcW w:w="224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A71FA57">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5块</w:t>
            </w:r>
          </w:p>
        </w:tc>
        <w:tc>
          <w:tcPr>
            <w:tcW w:w="230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CFA7F8">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5块</w:t>
            </w:r>
          </w:p>
        </w:tc>
      </w:tr>
    </w:tbl>
    <w:p w14:paraId="4EDB52CB">
      <w:pPr>
        <w:adjustRightInd w:val="0"/>
        <w:snapToGrid w:val="0"/>
        <w:spacing w:line="360" w:lineRule="auto"/>
        <w:rPr>
          <w:rFonts w:hint="eastAsia" w:hAnsi="宋体"/>
          <w:kern w:val="0"/>
          <w:szCs w:val="21"/>
        </w:rPr>
      </w:pPr>
    </w:p>
    <w:p w14:paraId="55306A7A">
      <w:pPr>
        <w:adjustRightInd w:val="0"/>
        <w:snapToGrid w:val="0"/>
        <w:spacing w:line="360" w:lineRule="auto"/>
        <w:rPr>
          <w:rFonts w:hint="eastAsia" w:ascii="黑体" w:hAnsi="黑体" w:eastAsia="黑体"/>
          <w:b/>
          <w:szCs w:val="21"/>
        </w:rPr>
      </w:pPr>
      <w:r>
        <w:rPr>
          <w:rFonts w:hint="eastAsia" w:ascii="黑体" w:hAnsi="黑体" w:eastAsia="黑体"/>
          <w:b/>
          <w:szCs w:val="21"/>
        </w:rPr>
        <w:t>2 检验依据</w:t>
      </w:r>
    </w:p>
    <w:p w14:paraId="7E50B2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lang w:val="en-US" w:eastAsia="zh-CN"/>
        </w:rPr>
        <w:t>混凝土路面砖</w:t>
      </w:r>
      <w:r>
        <w:rPr>
          <w:rFonts w:hint="eastAsia" w:ascii="宋体" w:hAnsi="宋体"/>
          <w:szCs w:val="28"/>
        </w:rPr>
        <w:t>检验项目、检验方法见表</w:t>
      </w:r>
      <w:r>
        <w:rPr>
          <w:rFonts w:hint="eastAsia" w:ascii="宋体" w:hAnsi="宋体"/>
          <w:szCs w:val="28"/>
          <w:lang w:val="en-US" w:eastAsia="zh-CN"/>
        </w:rPr>
        <w:t>2</w:t>
      </w:r>
      <w:r>
        <w:rPr>
          <w:rFonts w:hint="eastAsia" w:ascii="宋体" w:hAnsi="宋体"/>
          <w:szCs w:val="28"/>
        </w:rPr>
        <w:t>。</w:t>
      </w:r>
    </w:p>
    <w:p w14:paraId="7594BF9F">
      <w:pPr>
        <w:widowControl/>
        <w:ind w:right="198"/>
        <w:jc w:val="center"/>
        <w:rPr>
          <w:rFonts w:ascii="宋体"/>
          <w:sz w:val="18"/>
          <w:szCs w:val="18"/>
        </w:rPr>
      </w:pPr>
      <w:r>
        <w:rPr>
          <w:rFonts w:hint="eastAsia" w:ascii="宋体" w:hAnsi="宋体"/>
          <w:sz w:val="18"/>
          <w:szCs w:val="18"/>
        </w:rPr>
        <w:t>表</w:t>
      </w:r>
      <w:r>
        <w:rPr>
          <w:rFonts w:hint="eastAsia" w:ascii="宋体" w:hAnsi="宋体"/>
          <w:sz w:val="18"/>
          <w:szCs w:val="18"/>
          <w:lang w:val="en-US" w:eastAsia="zh-CN"/>
        </w:rPr>
        <w:t>2</w:t>
      </w:r>
      <w:r>
        <w:rPr>
          <w:rFonts w:ascii="宋体" w:hAnsi="宋体"/>
          <w:sz w:val="18"/>
          <w:szCs w:val="18"/>
        </w:rPr>
        <w:t xml:space="preserve">   </w:t>
      </w:r>
      <w:r>
        <w:rPr>
          <w:rFonts w:hint="eastAsia" w:ascii="宋体" w:hAnsi="宋体"/>
          <w:sz w:val="18"/>
          <w:szCs w:val="18"/>
          <w:lang w:val="en-US" w:eastAsia="zh-CN"/>
        </w:rPr>
        <w:t>混凝土路面砖</w:t>
      </w:r>
      <w:r>
        <w:rPr>
          <w:rFonts w:hint="eastAsia" w:ascii="宋体" w:hAnsi="宋体"/>
          <w:sz w:val="18"/>
          <w:szCs w:val="18"/>
        </w:rPr>
        <w:t>检验项目及检验方法</w:t>
      </w:r>
    </w:p>
    <w:tbl>
      <w:tblPr>
        <w:tblStyle w:val="10"/>
        <w:tblpPr w:leftFromText="180" w:rightFromText="180" w:vertAnchor="text" w:horzAnchor="page" w:tblpX="2276" w:tblpY="175"/>
        <w:tblOverlap w:val="never"/>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37"/>
        <w:gridCol w:w="3438"/>
      </w:tblGrid>
      <w:tr w14:paraId="23DD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0AAB7ED">
            <w:pPr>
              <w:adjustRightInd w:val="0"/>
              <w:snapToGrid w:val="0"/>
              <w:spacing w:line="240" w:lineRule="auto"/>
              <w:jc w:val="center"/>
              <w:rPr>
                <w:rFonts w:ascii="宋体"/>
                <w:sz w:val="18"/>
                <w:szCs w:val="18"/>
              </w:rPr>
            </w:pPr>
            <w:r>
              <w:rPr>
                <w:rFonts w:hint="eastAsia" w:ascii="宋体" w:hAnsi="宋体"/>
                <w:sz w:val="18"/>
                <w:szCs w:val="18"/>
              </w:rPr>
              <w:t>序号</w:t>
            </w:r>
          </w:p>
        </w:tc>
        <w:tc>
          <w:tcPr>
            <w:tcW w:w="3437" w:type="dxa"/>
            <w:noWrap/>
            <w:vAlign w:val="center"/>
          </w:tcPr>
          <w:p w14:paraId="467ECB30">
            <w:pPr>
              <w:snapToGrid w:val="0"/>
              <w:spacing w:line="240" w:lineRule="auto"/>
              <w:jc w:val="center"/>
              <w:rPr>
                <w:rFonts w:ascii="宋体"/>
                <w:bCs/>
                <w:color w:val="000000"/>
                <w:sz w:val="18"/>
                <w:szCs w:val="18"/>
              </w:rPr>
            </w:pPr>
            <w:r>
              <w:rPr>
                <w:rFonts w:hint="eastAsia" w:ascii="宋体" w:hAnsi="宋体"/>
                <w:bCs/>
                <w:color w:val="000000"/>
                <w:sz w:val="18"/>
                <w:szCs w:val="18"/>
              </w:rPr>
              <w:t>检验项目</w:t>
            </w:r>
          </w:p>
        </w:tc>
        <w:tc>
          <w:tcPr>
            <w:tcW w:w="3438" w:type="dxa"/>
            <w:noWrap/>
            <w:vAlign w:val="center"/>
          </w:tcPr>
          <w:p w14:paraId="4907BCB2">
            <w:pPr>
              <w:snapToGrid w:val="0"/>
              <w:spacing w:line="240" w:lineRule="auto"/>
              <w:jc w:val="center"/>
              <w:rPr>
                <w:rFonts w:hint="eastAsia" w:ascii="宋体" w:hAnsi="宋体"/>
                <w:bCs/>
                <w:color w:val="000000"/>
                <w:sz w:val="18"/>
                <w:szCs w:val="18"/>
              </w:rPr>
            </w:pPr>
            <w:r>
              <w:rPr>
                <w:rFonts w:hint="eastAsia" w:ascii="宋体" w:hAnsi="宋体"/>
                <w:sz w:val="18"/>
                <w:szCs w:val="18"/>
              </w:rPr>
              <w:t>检验方法</w:t>
            </w:r>
          </w:p>
        </w:tc>
      </w:tr>
      <w:tr w14:paraId="4A4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186581A3">
            <w:pPr>
              <w:snapToGrid w:val="0"/>
              <w:spacing w:line="240" w:lineRule="auto"/>
              <w:jc w:val="center"/>
              <w:rPr>
                <w:rFonts w:ascii="宋体"/>
                <w:bCs/>
                <w:color w:val="000000"/>
                <w:sz w:val="18"/>
                <w:szCs w:val="18"/>
              </w:rPr>
            </w:pPr>
            <w:r>
              <w:rPr>
                <w:rFonts w:ascii="宋体" w:hAnsi="宋体"/>
                <w:bCs/>
                <w:color w:val="000000"/>
                <w:sz w:val="18"/>
                <w:szCs w:val="18"/>
              </w:rPr>
              <w:t>1</w:t>
            </w:r>
          </w:p>
        </w:tc>
        <w:tc>
          <w:tcPr>
            <w:tcW w:w="3437" w:type="dxa"/>
            <w:noWrap/>
            <w:vAlign w:val="center"/>
          </w:tcPr>
          <w:p w14:paraId="73B1D0B0">
            <w:pPr>
              <w:widowControl/>
              <w:spacing w:line="240" w:lineRule="auto"/>
              <w:ind w:right="198"/>
              <w:jc w:val="center"/>
              <w:rPr>
                <w:rFonts w:hint="default" w:ascii="宋体" w:eastAsia="宋体"/>
                <w:sz w:val="18"/>
                <w:szCs w:val="18"/>
                <w:lang w:val="en-US" w:eastAsia="zh-CN"/>
              </w:rPr>
            </w:pPr>
            <w:r>
              <w:rPr>
                <w:rFonts w:hint="eastAsia" w:ascii="宋体"/>
                <w:sz w:val="18"/>
                <w:szCs w:val="18"/>
                <w:lang w:val="en-US" w:eastAsia="zh-CN"/>
              </w:rPr>
              <w:t>强度等级</w:t>
            </w:r>
          </w:p>
        </w:tc>
        <w:tc>
          <w:tcPr>
            <w:tcW w:w="3438" w:type="dxa"/>
            <w:vMerge w:val="restart"/>
            <w:noWrap/>
            <w:vAlign w:val="center"/>
          </w:tcPr>
          <w:p w14:paraId="452A9093">
            <w:pPr>
              <w:widowControl/>
              <w:spacing w:line="240" w:lineRule="auto"/>
              <w:ind w:right="198"/>
              <w:jc w:val="center"/>
              <w:rPr>
                <w:rFonts w:hint="default" w:ascii="宋体" w:hAnsi="宋体" w:eastAsia="宋体"/>
                <w:sz w:val="18"/>
                <w:szCs w:val="18"/>
                <w:lang w:val="en-US" w:eastAsia="zh-CN"/>
              </w:rPr>
            </w:pPr>
            <w:r>
              <w:rPr>
                <w:rFonts w:hint="eastAsia" w:ascii="宋体" w:hAnsi="宋体"/>
                <w:bCs/>
                <w:sz w:val="18"/>
                <w:szCs w:val="18"/>
                <w:lang w:val="en-US" w:eastAsia="zh-CN"/>
              </w:rPr>
              <w:t xml:space="preserve"> </w:t>
            </w:r>
            <w:r>
              <w:rPr>
                <w:rFonts w:ascii="宋体" w:hAnsi="宋体"/>
                <w:bCs/>
                <w:sz w:val="18"/>
                <w:szCs w:val="18"/>
              </w:rPr>
              <w:t xml:space="preserve">GB/T </w:t>
            </w:r>
            <w:r>
              <w:rPr>
                <w:rFonts w:hint="eastAsia" w:ascii="宋体" w:hAnsi="宋体"/>
                <w:bCs/>
                <w:sz w:val="18"/>
                <w:szCs w:val="18"/>
                <w:lang w:val="en-US" w:eastAsia="zh-CN"/>
              </w:rPr>
              <w:t>28635-2012</w:t>
            </w:r>
            <w:bookmarkStart w:id="0" w:name="_GoBack"/>
            <w:bookmarkEnd w:id="0"/>
          </w:p>
        </w:tc>
      </w:tr>
      <w:tr w14:paraId="3C64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noWrap/>
            <w:vAlign w:val="center"/>
          </w:tcPr>
          <w:p w14:paraId="5C88C9D6">
            <w:pPr>
              <w:snapToGrid w:val="0"/>
              <w:spacing w:line="240" w:lineRule="auto"/>
              <w:jc w:val="center"/>
              <w:rPr>
                <w:rFonts w:hint="eastAsia" w:ascii="宋体" w:eastAsia="宋体"/>
                <w:bCs/>
                <w:color w:val="000000"/>
                <w:sz w:val="18"/>
                <w:szCs w:val="18"/>
                <w:lang w:eastAsia="zh-CN"/>
              </w:rPr>
            </w:pPr>
            <w:r>
              <w:rPr>
                <w:rFonts w:hint="eastAsia" w:ascii="宋体" w:hAnsi="宋体"/>
                <w:bCs/>
                <w:color w:val="000000"/>
                <w:sz w:val="18"/>
                <w:szCs w:val="18"/>
                <w:lang w:val="en-US" w:eastAsia="zh-CN"/>
              </w:rPr>
              <w:t>2</w:t>
            </w:r>
          </w:p>
        </w:tc>
        <w:tc>
          <w:tcPr>
            <w:tcW w:w="3437" w:type="dxa"/>
            <w:noWrap/>
            <w:vAlign w:val="center"/>
          </w:tcPr>
          <w:p w14:paraId="4A50687D">
            <w:pPr>
              <w:widowControl/>
              <w:spacing w:line="240" w:lineRule="auto"/>
              <w:ind w:right="198"/>
              <w:jc w:val="center"/>
              <w:rPr>
                <w:rFonts w:hint="default" w:ascii="宋体" w:eastAsia="宋体"/>
                <w:sz w:val="18"/>
                <w:szCs w:val="18"/>
                <w:lang w:val="en-US" w:eastAsia="zh-CN"/>
              </w:rPr>
            </w:pPr>
            <w:r>
              <w:rPr>
                <w:rFonts w:hint="eastAsia" w:ascii="宋体"/>
                <w:sz w:val="18"/>
                <w:szCs w:val="18"/>
                <w:lang w:val="en-US" w:eastAsia="zh-CN"/>
              </w:rPr>
              <w:t>吸水率</w:t>
            </w:r>
          </w:p>
        </w:tc>
        <w:tc>
          <w:tcPr>
            <w:tcW w:w="3438" w:type="dxa"/>
            <w:vMerge w:val="continue"/>
            <w:tcBorders/>
            <w:noWrap/>
            <w:vAlign w:val="center"/>
          </w:tcPr>
          <w:p w14:paraId="3D24C9C3">
            <w:pPr>
              <w:widowControl/>
              <w:spacing w:line="240" w:lineRule="auto"/>
              <w:ind w:right="198"/>
              <w:jc w:val="center"/>
              <w:rPr>
                <w:rFonts w:hint="default" w:ascii="宋体" w:hAnsi="宋体"/>
                <w:sz w:val="18"/>
                <w:szCs w:val="18"/>
                <w:lang w:val="en-US"/>
              </w:rPr>
            </w:pPr>
          </w:p>
        </w:tc>
      </w:tr>
    </w:tbl>
    <w:p w14:paraId="79C890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highlight w:val="none"/>
        </w:rPr>
      </w:pPr>
      <w:r>
        <w:rPr>
          <w:rFonts w:hint="eastAsia" w:ascii="宋体" w:hAnsi="宋体"/>
          <w:szCs w:val="28"/>
          <w:highlight w:val="none"/>
        </w:rPr>
        <w:t>执行企业标准、团体标准、地方标准的产品，检验项目参照上述内容执行。</w:t>
      </w:r>
    </w:p>
    <w:p w14:paraId="643DF9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highlight w:val="none"/>
        </w:rPr>
      </w:pPr>
      <w:r>
        <w:rPr>
          <w:rFonts w:hint="eastAsia" w:ascii="宋体" w:hAnsi="宋体"/>
          <w:szCs w:val="28"/>
          <w:highlight w:val="none"/>
        </w:rPr>
        <w:t>凡是注日期的文件，其随后所有的修改单（不包括勘误的内容）或修订版不适用于本细则。凡是不注日期的文件，其最新版本适用于本细则。</w:t>
      </w:r>
    </w:p>
    <w:p w14:paraId="370C4BD5">
      <w:pPr>
        <w:snapToGrid w:val="0"/>
        <w:spacing w:line="360" w:lineRule="auto"/>
        <w:ind w:firstLine="420" w:firstLineChars="200"/>
        <w:rPr>
          <w:rFonts w:ascii="宋体"/>
          <w:color w:val="000000"/>
          <w:szCs w:val="21"/>
        </w:rPr>
      </w:pPr>
    </w:p>
    <w:p w14:paraId="3DCBE731">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360D33C4">
      <w:pPr>
        <w:adjustRightInd w:val="0"/>
        <w:snapToGrid w:val="0"/>
        <w:spacing w:line="360" w:lineRule="auto"/>
        <w:rPr>
          <w:rFonts w:ascii="宋体"/>
          <w:szCs w:val="28"/>
        </w:rPr>
      </w:pPr>
      <w:r>
        <w:rPr>
          <w:rFonts w:ascii="宋体" w:hAnsi="宋体"/>
          <w:b/>
          <w:color w:val="000000"/>
          <w:szCs w:val="21"/>
        </w:rPr>
        <w:t>3.1</w:t>
      </w:r>
      <w:r>
        <w:rPr>
          <w:rFonts w:hint="eastAsia" w:ascii="宋体" w:hAnsi="宋体"/>
          <w:b/>
          <w:color w:val="000000"/>
          <w:szCs w:val="21"/>
        </w:rPr>
        <w:t>依据标准</w:t>
      </w:r>
    </w:p>
    <w:p w14:paraId="1D719E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Cs w:val="28"/>
          <w:lang w:eastAsia="zh-CN"/>
        </w:rPr>
      </w:pPr>
      <w:r>
        <w:rPr>
          <w:rFonts w:ascii="宋体" w:hAnsi="宋体"/>
          <w:color w:val="auto"/>
          <w:szCs w:val="28"/>
        </w:rPr>
        <w:t xml:space="preserve">GB/T </w:t>
      </w:r>
      <w:r>
        <w:rPr>
          <w:rFonts w:hint="eastAsia" w:ascii="宋体" w:hAnsi="宋体"/>
          <w:color w:val="auto"/>
          <w:szCs w:val="28"/>
          <w:lang w:val="en-US" w:eastAsia="zh-CN"/>
        </w:rPr>
        <w:t>28635-2012 混凝土路面砖</w:t>
      </w:r>
    </w:p>
    <w:p w14:paraId="0AF5F9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olor w:val="auto"/>
          <w:szCs w:val="28"/>
        </w:rPr>
      </w:pPr>
      <w:r>
        <w:rPr>
          <w:rFonts w:hint="eastAsia" w:ascii="宋体" w:hAnsi="宋体"/>
          <w:color w:val="auto"/>
          <w:szCs w:val="28"/>
        </w:rPr>
        <w:t>相关的法律、行政法规、部门规章、规范性文件</w:t>
      </w:r>
    </w:p>
    <w:p w14:paraId="3AACED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olor w:val="auto"/>
          <w:szCs w:val="28"/>
        </w:rPr>
      </w:pPr>
      <w:r>
        <w:rPr>
          <w:rFonts w:hint="eastAsia" w:ascii="宋体" w:hAnsi="宋体"/>
          <w:color w:val="auto"/>
          <w:szCs w:val="28"/>
        </w:rPr>
        <w:t>现行有效的企业标准、团体标准、地方标准及产品明示质量要求</w:t>
      </w:r>
    </w:p>
    <w:p w14:paraId="582D32C5">
      <w:pPr>
        <w:adjustRightInd w:val="0"/>
        <w:snapToGrid w:val="0"/>
        <w:spacing w:line="360" w:lineRule="auto"/>
        <w:rPr>
          <w:rFonts w:ascii="宋体"/>
          <w:b/>
          <w:color w:val="000000"/>
          <w:szCs w:val="21"/>
        </w:rPr>
      </w:pPr>
      <w:r>
        <w:rPr>
          <w:rFonts w:ascii="宋体" w:hAnsi="宋体"/>
          <w:b/>
          <w:color w:val="000000"/>
          <w:szCs w:val="21"/>
        </w:rPr>
        <w:t>3.2</w:t>
      </w:r>
      <w:r>
        <w:rPr>
          <w:rFonts w:hint="eastAsia" w:ascii="宋体" w:hAnsi="宋体"/>
          <w:b/>
          <w:color w:val="000000"/>
          <w:szCs w:val="21"/>
        </w:rPr>
        <w:t>判定原则</w:t>
      </w:r>
    </w:p>
    <w:p w14:paraId="745B82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经检验，检验项目全部合格，判定为被抽查产品所检项目未发现不合格；检验项目中任一项或一项以上不合格，判定为被抽查产品不合格。</w:t>
      </w:r>
    </w:p>
    <w:p w14:paraId="7F947A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若被检产品明示的质量要求高于本细则中检验项目依据的标准要求时，应按被检产品明示的质量要求判定。</w:t>
      </w:r>
    </w:p>
    <w:p w14:paraId="49274C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若被检产品明示的质量要求低于本细则中检验项目依据的强制性标准要求时，应按照强制性标准要求判定。</w:t>
      </w:r>
    </w:p>
    <w:p w14:paraId="37E472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若被检产品明示的质量要求低于或包含细则中检验项目依据的推荐性标准要求时，应以被检产品明示的质量要求判定，但应在检验报告备注中进行说明。</w:t>
      </w:r>
    </w:p>
    <w:p w14:paraId="610270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若被检产品明示的质量要求缺少本细则中检验项目依据的强制性标准要求时，应按照强制性标准要求判定。</w:t>
      </w:r>
    </w:p>
    <w:p w14:paraId="31E269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szCs w:val="28"/>
        </w:rPr>
      </w:pPr>
      <w:r>
        <w:rPr>
          <w:rFonts w:hint="eastAsia" w:ascii="宋体" w:hAnsi="宋体"/>
          <w:szCs w:val="28"/>
        </w:rPr>
        <w:t>若被检产品明示的质量要求缺少本细则中检验项目依据的推荐性标准要求时，该项目不参与判定，但应在检验报告备注中进行说明。</w:t>
      </w:r>
    </w:p>
    <w:p w14:paraId="79CD420F">
      <w:pPr>
        <w:adjustRightInd w:val="0"/>
        <w:snapToGrid w:val="0"/>
        <w:spacing w:line="360" w:lineRule="auto"/>
        <w:ind w:firstLine="417" w:firstLineChars="199"/>
        <w:rPr>
          <w:rFonts w:ascii="宋体"/>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1617980</wp:posOffset>
                </wp:positionH>
                <wp:positionV relativeFrom="paragraph">
                  <wp:posOffset>276225</wp:posOffset>
                </wp:positionV>
                <wp:extent cx="2390140" cy="0"/>
                <wp:effectExtent l="0" t="5080" r="635"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7.4pt;margin-top:21.75pt;height:0pt;width:188.2pt;z-index:251660288;mso-width-relative:page;mso-height-relative:page;" filled="f" stroked="t" coordsize="21600,21600" o:gfxdata="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fXR1&#10;1wAAAAkBAAAPAAAAAAAAAAEAIAAAACIAAABkcnMvZG93bnJldi54bWxQSwECFAAUAAAACACHTuJA&#10;n3DxP+kBAAC4AwAADgAAAAAAAAABACAAAAAmAQAAZHJzL2Uyb0RvYy54bWxQSwUGAAAAAAYABgBZ&#10;AQAAgQUAAAAA&#10;">
                <v:fill on="f" focussize="0,0"/>
                <v:stroke color="#000000" joinstyle="round"/>
                <v:imagedata o:title=""/>
                <o:lock v:ext="edit" aspectratio="f"/>
              </v:line>
            </w:pict>
          </mc:Fallback>
        </mc:AlternateContent>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r>
        <w:rPr>
          <w:rFonts w:ascii="宋体"/>
          <w:color w:val="000000"/>
          <w:szCs w:val="21"/>
        </w:rPr>
        <w:softHyphen/>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5F2025-DBF1-43AD-B877-A269222C71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1" w:csb1="00000000"/>
  </w:font>
  <w:font w:name="FzBookMaker11DlFont110536871175">
    <w:altName w:val="Times New Roman"/>
    <w:panose1 w:val="00000000000000000000"/>
    <w:charset w:val="00"/>
    <w:family w:val="roman"/>
    <w:pitch w:val="default"/>
    <w:sig w:usb0="00000000" w:usb1="00000000" w:usb2="00000000" w:usb3="00000000" w:csb0="00000001" w:csb1="00000000"/>
  </w:font>
  <w:font w:name="FzBookMaker2DlFont20536871173">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8C419D75-2475-4E7E-BFBF-BA24212FC4E9}"/>
  </w:font>
  <w:font w:name="仿宋">
    <w:panose1 w:val="02010609060101010101"/>
    <w:charset w:val="86"/>
    <w:family w:val="modern"/>
    <w:pitch w:val="default"/>
    <w:sig w:usb0="800002BF" w:usb1="38CF7CFA" w:usb2="00000016" w:usb3="00000000" w:csb0="00040001" w:csb1="00000000"/>
    <w:embedRegular r:id="rId3" w:fontKey="{C8ECCE7A-EA02-4ACD-8ECA-6E758FF653E4}"/>
  </w:font>
  <w:font w:name="方正仿宋简体">
    <w:panose1 w:val="02000000000000000000"/>
    <w:charset w:val="86"/>
    <w:family w:val="auto"/>
    <w:pitch w:val="default"/>
    <w:sig w:usb0="A00002BF" w:usb1="184F6CFA" w:usb2="00000012" w:usb3="00000000" w:csb0="00040001" w:csb1="00000000"/>
    <w:embedRegular r:id="rId4" w:fontKey="{89DAC2FA-2C71-49D2-AE18-0DE65183FD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62D21">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5378A6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50B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11C6F439">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FA5D">
    <w:pPr>
      <w:pStyle w:val="7"/>
    </w:pPr>
  </w:p>
  <w:p w14:paraId="02578F1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28E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56CA7"/>
    <w:multiLevelType w:val="multilevel"/>
    <w:tmpl w:val="4E656CA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IwNzViNzcwZDlhYzI1Mjc2ZGYxZGMzYTcwN2MifQ=="/>
  </w:docVars>
  <w:rsids>
    <w:rsidRoot w:val="00172A27"/>
    <w:rsid w:val="00000B18"/>
    <w:rsid w:val="00006402"/>
    <w:rsid w:val="00012715"/>
    <w:rsid w:val="00021005"/>
    <w:rsid w:val="00023C4E"/>
    <w:rsid w:val="000276A9"/>
    <w:rsid w:val="000304C5"/>
    <w:rsid w:val="0003193A"/>
    <w:rsid w:val="00035064"/>
    <w:rsid w:val="00037D8D"/>
    <w:rsid w:val="0004011D"/>
    <w:rsid w:val="000442ED"/>
    <w:rsid w:val="00051A44"/>
    <w:rsid w:val="00057351"/>
    <w:rsid w:val="00060ECF"/>
    <w:rsid w:val="000623A1"/>
    <w:rsid w:val="000672B7"/>
    <w:rsid w:val="00071001"/>
    <w:rsid w:val="00076F61"/>
    <w:rsid w:val="00081CBD"/>
    <w:rsid w:val="000841A6"/>
    <w:rsid w:val="0009399B"/>
    <w:rsid w:val="000976DE"/>
    <w:rsid w:val="000D0007"/>
    <w:rsid w:val="000D2195"/>
    <w:rsid w:val="000D2C3B"/>
    <w:rsid w:val="000D3759"/>
    <w:rsid w:val="000D45B9"/>
    <w:rsid w:val="000E24C4"/>
    <w:rsid w:val="000F64F9"/>
    <w:rsid w:val="000F6E44"/>
    <w:rsid w:val="000F7E56"/>
    <w:rsid w:val="001035C2"/>
    <w:rsid w:val="00106D82"/>
    <w:rsid w:val="00107ECD"/>
    <w:rsid w:val="00113310"/>
    <w:rsid w:val="00115BC8"/>
    <w:rsid w:val="00115FA1"/>
    <w:rsid w:val="0012168C"/>
    <w:rsid w:val="00122CB7"/>
    <w:rsid w:val="00131D65"/>
    <w:rsid w:val="001427FD"/>
    <w:rsid w:val="001437C2"/>
    <w:rsid w:val="00144CD3"/>
    <w:rsid w:val="00155096"/>
    <w:rsid w:val="0015743B"/>
    <w:rsid w:val="001715A9"/>
    <w:rsid w:val="00172A27"/>
    <w:rsid w:val="00175489"/>
    <w:rsid w:val="001754B1"/>
    <w:rsid w:val="0017795B"/>
    <w:rsid w:val="001809DD"/>
    <w:rsid w:val="00182509"/>
    <w:rsid w:val="001845E3"/>
    <w:rsid w:val="0018638C"/>
    <w:rsid w:val="001A4CAF"/>
    <w:rsid w:val="001A65B0"/>
    <w:rsid w:val="001C1F87"/>
    <w:rsid w:val="001C4F34"/>
    <w:rsid w:val="001C5C52"/>
    <w:rsid w:val="001D1FBC"/>
    <w:rsid w:val="001D36B4"/>
    <w:rsid w:val="001D5C67"/>
    <w:rsid w:val="001D6824"/>
    <w:rsid w:val="001E4729"/>
    <w:rsid w:val="001E4F8B"/>
    <w:rsid w:val="001E670E"/>
    <w:rsid w:val="001F2D1F"/>
    <w:rsid w:val="00210539"/>
    <w:rsid w:val="00220A15"/>
    <w:rsid w:val="00223317"/>
    <w:rsid w:val="00225BB4"/>
    <w:rsid w:val="002448A3"/>
    <w:rsid w:val="00246645"/>
    <w:rsid w:val="00247D1B"/>
    <w:rsid w:val="00253624"/>
    <w:rsid w:val="002710B5"/>
    <w:rsid w:val="00274E3E"/>
    <w:rsid w:val="002825C2"/>
    <w:rsid w:val="00287B95"/>
    <w:rsid w:val="00293B52"/>
    <w:rsid w:val="002A02DD"/>
    <w:rsid w:val="002A6812"/>
    <w:rsid w:val="002A7719"/>
    <w:rsid w:val="002A7D1C"/>
    <w:rsid w:val="002B50E7"/>
    <w:rsid w:val="002D17A5"/>
    <w:rsid w:val="002D3EDC"/>
    <w:rsid w:val="002D48CE"/>
    <w:rsid w:val="002D7F8A"/>
    <w:rsid w:val="002E0D1D"/>
    <w:rsid w:val="002E1EAC"/>
    <w:rsid w:val="002E369A"/>
    <w:rsid w:val="002E68A8"/>
    <w:rsid w:val="002E772A"/>
    <w:rsid w:val="002E7D4F"/>
    <w:rsid w:val="002F49EA"/>
    <w:rsid w:val="00306A87"/>
    <w:rsid w:val="00311DD2"/>
    <w:rsid w:val="003203A3"/>
    <w:rsid w:val="003222A6"/>
    <w:rsid w:val="00344156"/>
    <w:rsid w:val="00370830"/>
    <w:rsid w:val="00371567"/>
    <w:rsid w:val="00375E4A"/>
    <w:rsid w:val="00376283"/>
    <w:rsid w:val="00382F69"/>
    <w:rsid w:val="00391B0E"/>
    <w:rsid w:val="0039208F"/>
    <w:rsid w:val="00392A15"/>
    <w:rsid w:val="00393EB1"/>
    <w:rsid w:val="003A0D0D"/>
    <w:rsid w:val="003A1E75"/>
    <w:rsid w:val="003A6C26"/>
    <w:rsid w:val="003B226D"/>
    <w:rsid w:val="003C3420"/>
    <w:rsid w:val="003C388C"/>
    <w:rsid w:val="003C4CFD"/>
    <w:rsid w:val="003C6F9C"/>
    <w:rsid w:val="003D0118"/>
    <w:rsid w:val="003D4282"/>
    <w:rsid w:val="003E4890"/>
    <w:rsid w:val="003E61BF"/>
    <w:rsid w:val="0040154B"/>
    <w:rsid w:val="00403C47"/>
    <w:rsid w:val="004074E8"/>
    <w:rsid w:val="00427D8E"/>
    <w:rsid w:val="004333BE"/>
    <w:rsid w:val="004404E5"/>
    <w:rsid w:val="00441CD2"/>
    <w:rsid w:val="00442A9A"/>
    <w:rsid w:val="00445E86"/>
    <w:rsid w:val="00453259"/>
    <w:rsid w:val="00453387"/>
    <w:rsid w:val="00456D8D"/>
    <w:rsid w:val="00457A50"/>
    <w:rsid w:val="00474E04"/>
    <w:rsid w:val="004820E0"/>
    <w:rsid w:val="00490A9C"/>
    <w:rsid w:val="004A2393"/>
    <w:rsid w:val="004A29CE"/>
    <w:rsid w:val="004A4293"/>
    <w:rsid w:val="004C04CE"/>
    <w:rsid w:val="004C467E"/>
    <w:rsid w:val="004D0C5A"/>
    <w:rsid w:val="004D0E11"/>
    <w:rsid w:val="004D25D5"/>
    <w:rsid w:val="004D3D41"/>
    <w:rsid w:val="004E1396"/>
    <w:rsid w:val="004E1F92"/>
    <w:rsid w:val="004E6582"/>
    <w:rsid w:val="004F23B6"/>
    <w:rsid w:val="004F4DF1"/>
    <w:rsid w:val="00500627"/>
    <w:rsid w:val="00501810"/>
    <w:rsid w:val="00515553"/>
    <w:rsid w:val="005160B2"/>
    <w:rsid w:val="00520E09"/>
    <w:rsid w:val="00521300"/>
    <w:rsid w:val="00530363"/>
    <w:rsid w:val="005317D6"/>
    <w:rsid w:val="005423FF"/>
    <w:rsid w:val="005431BD"/>
    <w:rsid w:val="00546B84"/>
    <w:rsid w:val="00550747"/>
    <w:rsid w:val="005523B4"/>
    <w:rsid w:val="0055330F"/>
    <w:rsid w:val="00557DE8"/>
    <w:rsid w:val="005608C8"/>
    <w:rsid w:val="00560BA9"/>
    <w:rsid w:val="00563EBC"/>
    <w:rsid w:val="00576C0D"/>
    <w:rsid w:val="00577212"/>
    <w:rsid w:val="005909A6"/>
    <w:rsid w:val="0059437C"/>
    <w:rsid w:val="005A3370"/>
    <w:rsid w:val="005A492D"/>
    <w:rsid w:val="005A62EF"/>
    <w:rsid w:val="005B210F"/>
    <w:rsid w:val="005C50E3"/>
    <w:rsid w:val="005C7F5D"/>
    <w:rsid w:val="005D5EFF"/>
    <w:rsid w:val="005E6344"/>
    <w:rsid w:val="005E74D9"/>
    <w:rsid w:val="005F222B"/>
    <w:rsid w:val="005F3116"/>
    <w:rsid w:val="006043EF"/>
    <w:rsid w:val="00612160"/>
    <w:rsid w:val="006226EA"/>
    <w:rsid w:val="006241C7"/>
    <w:rsid w:val="00627861"/>
    <w:rsid w:val="00627B95"/>
    <w:rsid w:val="00634B49"/>
    <w:rsid w:val="00643C90"/>
    <w:rsid w:val="006456DE"/>
    <w:rsid w:val="0065091F"/>
    <w:rsid w:val="0065424C"/>
    <w:rsid w:val="006617E9"/>
    <w:rsid w:val="00664DE7"/>
    <w:rsid w:val="006661AC"/>
    <w:rsid w:val="0067489B"/>
    <w:rsid w:val="006754EA"/>
    <w:rsid w:val="00683994"/>
    <w:rsid w:val="00696D8F"/>
    <w:rsid w:val="006A0617"/>
    <w:rsid w:val="006A0D1B"/>
    <w:rsid w:val="006A4981"/>
    <w:rsid w:val="006B091E"/>
    <w:rsid w:val="006B1E8C"/>
    <w:rsid w:val="006B3511"/>
    <w:rsid w:val="006B4E28"/>
    <w:rsid w:val="006B67F1"/>
    <w:rsid w:val="006B7ACD"/>
    <w:rsid w:val="006C13D2"/>
    <w:rsid w:val="006C2301"/>
    <w:rsid w:val="006D16E2"/>
    <w:rsid w:val="006D268B"/>
    <w:rsid w:val="006E352B"/>
    <w:rsid w:val="006E507D"/>
    <w:rsid w:val="006E67B2"/>
    <w:rsid w:val="006F0971"/>
    <w:rsid w:val="006F23D7"/>
    <w:rsid w:val="007035AB"/>
    <w:rsid w:val="007064E0"/>
    <w:rsid w:val="007076A7"/>
    <w:rsid w:val="0071152C"/>
    <w:rsid w:val="0071301C"/>
    <w:rsid w:val="00713F1D"/>
    <w:rsid w:val="00720D95"/>
    <w:rsid w:val="00721C12"/>
    <w:rsid w:val="0072334C"/>
    <w:rsid w:val="007322DF"/>
    <w:rsid w:val="0073789D"/>
    <w:rsid w:val="00740BD6"/>
    <w:rsid w:val="0074174D"/>
    <w:rsid w:val="007428C6"/>
    <w:rsid w:val="00744A0C"/>
    <w:rsid w:val="007473E4"/>
    <w:rsid w:val="00754D56"/>
    <w:rsid w:val="00756A15"/>
    <w:rsid w:val="0076091D"/>
    <w:rsid w:val="007626BB"/>
    <w:rsid w:val="00762707"/>
    <w:rsid w:val="00762F32"/>
    <w:rsid w:val="00764B44"/>
    <w:rsid w:val="00765F1D"/>
    <w:rsid w:val="00771074"/>
    <w:rsid w:val="00785F6C"/>
    <w:rsid w:val="00796065"/>
    <w:rsid w:val="007A3118"/>
    <w:rsid w:val="007B0C75"/>
    <w:rsid w:val="007B1C42"/>
    <w:rsid w:val="007B3BBD"/>
    <w:rsid w:val="007C1867"/>
    <w:rsid w:val="007C6565"/>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54F6E"/>
    <w:rsid w:val="00865D04"/>
    <w:rsid w:val="00875457"/>
    <w:rsid w:val="00883103"/>
    <w:rsid w:val="00884C24"/>
    <w:rsid w:val="00895BEA"/>
    <w:rsid w:val="008A0055"/>
    <w:rsid w:val="008A0FF4"/>
    <w:rsid w:val="008A3497"/>
    <w:rsid w:val="008A3CC9"/>
    <w:rsid w:val="008A5AF6"/>
    <w:rsid w:val="008A5D98"/>
    <w:rsid w:val="008B69C6"/>
    <w:rsid w:val="008B6AA6"/>
    <w:rsid w:val="008D2366"/>
    <w:rsid w:val="008E32F0"/>
    <w:rsid w:val="008E5B49"/>
    <w:rsid w:val="008E73EC"/>
    <w:rsid w:val="008E73FB"/>
    <w:rsid w:val="008F2CA7"/>
    <w:rsid w:val="009055F7"/>
    <w:rsid w:val="00916A9A"/>
    <w:rsid w:val="00916DA0"/>
    <w:rsid w:val="00917A54"/>
    <w:rsid w:val="00920717"/>
    <w:rsid w:val="00921D0C"/>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1143"/>
    <w:rsid w:val="00992BA6"/>
    <w:rsid w:val="009950CE"/>
    <w:rsid w:val="00995EFE"/>
    <w:rsid w:val="00996FEC"/>
    <w:rsid w:val="009A15C9"/>
    <w:rsid w:val="009A44C8"/>
    <w:rsid w:val="009B5017"/>
    <w:rsid w:val="009B5EF0"/>
    <w:rsid w:val="009D29B0"/>
    <w:rsid w:val="009D29FE"/>
    <w:rsid w:val="009D346B"/>
    <w:rsid w:val="009D7B49"/>
    <w:rsid w:val="009E152A"/>
    <w:rsid w:val="009E157F"/>
    <w:rsid w:val="009E73FD"/>
    <w:rsid w:val="009F036B"/>
    <w:rsid w:val="009F265F"/>
    <w:rsid w:val="009F5016"/>
    <w:rsid w:val="009F6B32"/>
    <w:rsid w:val="00A04235"/>
    <w:rsid w:val="00A05B06"/>
    <w:rsid w:val="00A07BE3"/>
    <w:rsid w:val="00A20994"/>
    <w:rsid w:val="00A255C2"/>
    <w:rsid w:val="00A376F5"/>
    <w:rsid w:val="00A37F61"/>
    <w:rsid w:val="00A43553"/>
    <w:rsid w:val="00A50B10"/>
    <w:rsid w:val="00A55A75"/>
    <w:rsid w:val="00A62B41"/>
    <w:rsid w:val="00A675D2"/>
    <w:rsid w:val="00A725DC"/>
    <w:rsid w:val="00A73AFA"/>
    <w:rsid w:val="00A80B31"/>
    <w:rsid w:val="00A821C6"/>
    <w:rsid w:val="00A8284B"/>
    <w:rsid w:val="00A8778B"/>
    <w:rsid w:val="00A95167"/>
    <w:rsid w:val="00A976C3"/>
    <w:rsid w:val="00AA04ED"/>
    <w:rsid w:val="00AA2B3B"/>
    <w:rsid w:val="00AA2BE0"/>
    <w:rsid w:val="00AA3905"/>
    <w:rsid w:val="00AA5A4E"/>
    <w:rsid w:val="00AB454C"/>
    <w:rsid w:val="00AB47A2"/>
    <w:rsid w:val="00AC2C98"/>
    <w:rsid w:val="00AC4183"/>
    <w:rsid w:val="00AC6A4A"/>
    <w:rsid w:val="00AD1654"/>
    <w:rsid w:val="00AD5446"/>
    <w:rsid w:val="00AE199C"/>
    <w:rsid w:val="00AE6407"/>
    <w:rsid w:val="00AE7281"/>
    <w:rsid w:val="00B03AD3"/>
    <w:rsid w:val="00B03F44"/>
    <w:rsid w:val="00B052CD"/>
    <w:rsid w:val="00B07D2D"/>
    <w:rsid w:val="00B10B8A"/>
    <w:rsid w:val="00B11A9D"/>
    <w:rsid w:val="00B11F7B"/>
    <w:rsid w:val="00B12169"/>
    <w:rsid w:val="00B12D9E"/>
    <w:rsid w:val="00B150B3"/>
    <w:rsid w:val="00B1607C"/>
    <w:rsid w:val="00B17C91"/>
    <w:rsid w:val="00B21ADC"/>
    <w:rsid w:val="00B23950"/>
    <w:rsid w:val="00B37BD1"/>
    <w:rsid w:val="00B40DD7"/>
    <w:rsid w:val="00B4421F"/>
    <w:rsid w:val="00B512B6"/>
    <w:rsid w:val="00B5192F"/>
    <w:rsid w:val="00B6027C"/>
    <w:rsid w:val="00B60FC4"/>
    <w:rsid w:val="00B64ECB"/>
    <w:rsid w:val="00B71D32"/>
    <w:rsid w:val="00B913CF"/>
    <w:rsid w:val="00B9297F"/>
    <w:rsid w:val="00B92EA8"/>
    <w:rsid w:val="00B96506"/>
    <w:rsid w:val="00B96722"/>
    <w:rsid w:val="00BA29DB"/>
    <w:rsid w:val="00BA39E8"/>
    <w:rsid w:val="00BA444C"/>
    <w:rsid w:val="00BC0F3D"/>
    <w:rsid w:val="00BC11AA"/>
    <w:rsid w:val="00BC2570"/>
    <w:rsid w:val="00BC3E34"/>
    <w:rsid w:val="00BC6101"/>
    <w:rsid w:val="00BD46C8"/>
    <w:rsid w:val="00BD48D8"/>
    <w:rsid w:val="00BD5E15"/>
    <w:rsid w:val="00BF04E2"/>
    <w:rsid w:val="00BF2499"/>
    <w:rsid w:val="00BF4455"/>
    <w:rsid w:val="00C03A09"/>
    <w:rsid w:val="00C04BB6"/>
    <w:rsid w:val="00C064F4"/>
    <w:rsid w:val="00C106D7"/>
    <w:rsid w:val="00C11645"/>
    <w:rsid w:val="00C14F93"/>
    <w:rsid w:val="00C158F1"/>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95ACB"/>
    <w:rsid w:val="00C9608B"/>
    <w:rsid w:val="00CA1006"/>
    <w:rsid w:val="00CB0A67"/>
    <w:rsid w:val="00CB4CFB"/>
    <w:rsid w:val="00CC3BFE"/>
    <w:rsid w:val="00CC3F7B"/>
    <w:rsid w:val="00CC7DB2"/>
    <w:rsid w:val="00CD0BD6"/>
    <w:rsid w:val="00CE09EF"/>
    <w:rsid w:val="00CE1E0C"/>
    <w:rsid w:val="00CE277E"/>
    <w:rsid w:val="00CE387D"/>
    <w:rsid w:val="00CE3A7F"/>
    <w:rsid w:val="00CF0881"/>
    <w:rsid w:val="00CF146B"/>
    <w:rsid w:val="00CF3A49"/>
    <w:rsid w:val="00CF527F"/>
    <w:rsid w:val="00CF6662"/>
    <w:rsid w:val="00D02A45"/>
    <w:rsid w:val="00D15D3E"/>
    <w:rsid w:val="00D1658A"/>
    <w:rsid w:val="00D31AD0"/>
    <w:rsid w:val="00D3333B"/>
    <w:rsid w:val="00D33DCC"/>
    <w:rsid w:val="00D356AC"/>
    <w:rsid w:val="00D45E0D"/>
    <w:rsid w:val="00D56867"/>
    <w:rsid w:val="00D65C59"/>
    <w:rsid w:val="00D66629"/>
    <w:rsid w:val="00D72638"/>
    <w:rsid w:val="00D76329"/>
    <w:rsid w:val="00D84229"/>
    <w:rsid w:val="00D90D2F"/>
    <w:rsid w:val="00D9145F"/>
    <w:rsid w:val="00D9632F"/>
    <w:rsid w:val="00DA06A4"/>
    <w:rsid w:val="00DB6E0E"/>
    <w:rsid w:val="00DC19FC"/>
    <w:rsid w:val="00DC6844"/>
    <w:rsid w:val="00DC7251"/>
    <w:rsid w:val="00DE55E6"/>
    <w:rsid w:val="00DE5A74"/>
    <w:rsid w:val="00DF135C"/>
    <w:rsid w:val="00DF183C"/>
    <w:rsid w:val="00DF1849"/>
    <w:rsid w:val="00DF5C6C"/>
    <w:rsid w:val="00DF7CCC"/>
    <w:rsid w:val="00E02A7F"/>
    <w:rsid w:val="00E02F33"/>
    <w:rsid w:val="00E04433"/>
    <w:rsid w:val="00E07880"/>
    <w:rsid w:val="00E10BE9"/>
    <w:rsid w:val="00E17EDE"/>
    <w:rsid w:val="00E20DE0"/>
    <w:rsid w:val="00E20E35"/>
    <w:rsid w:val="00E22B6C"/>
    <w:rsid w:val="00E24D95"/>
    <w:rsid w:val="00E601F3"/>
    <w:rsid w:val="00E611F3"/>
    <w:rsid w:val="00E632FA"/>
    <w:rsid w:val="00E66936"/>
    <w:rsid w:val="00E753E6"/>
    <w:rsid w:val="00E75A19"/>
    <w:rsid w:val="00E82621"/>
    <w:rsid w:val="00E82AA9"/>
    <w:rsid w:val="00E85E2F"/>
    <w:rsid w:val="00E94312"/>
    <w:rsid w:val="00E974E0"/>
    <w:rsid w:val="00EB0083"/>
    <w:rsid w:val="00EB023B"/>
    <w:rsid w:val="00EB22EC"/>
    <w:rsid w:val="00EB2BD1"/>
    <w:rsid w:val="00EB353C"/>
    <w:rsid w:val="00EB6821"/>
    <w:rsid w:val="00EC01EC"/>
    <w:rsid w:val="00EC13CB"/>
    <w:rsid w:val="00ED0164"/>
    <w:rsid w:val="00ED33A1"/>
    <w:rsid w:val="00EE2F85"/>
    <w:rsid w:val="00EE53BC"/>
    <w:rsid w:val="00EF31B9"/>
    <w:rsid w:val="00EF3A61"/>
    <w:rsid w:val="00F01BEC"/>
    <w:rsid w:val="00F030E4"/>
    <w:rsid w:val="00F063E3"/>
    <w:rsid w:val="00F12212"/>
    <w:rsid w:val="00F32376"/>
    <w:rsid w:val="00F370D1"/>
    <w:rsid w:val="00F37923"/>
    <w:rsid w:val="00F41F1B"/>
    <w:rsid w:val="00F44DBE"/>
    <w:rsid w:val="00F51B27"/>
    <w:rsid w:val="00F5233C"/>
    <w:rsid w:val="00F572D7"/>
    <w:rsid w:val="00F6498A"/>
    <w:rsid w:val="00F721D8"/>
    <w:rsid w:val="00F73B94"/>
    <w:rsid w:val="00F77C9A"/>
    <w:rsid w:val="00F9167B"/>
    <w:rsid w:val="00F9402A"/>
    <w:rsid w:val="00F942DA"/>
    <w:rsid w:val="00F9792E"/>
    <w:rsid w:val="00FA33D1"/>
    <w:rsid w:val="00FA72DA"/>
    <w:rsid w:val="00FB2570"/>
    <w:rsid w:val="00FB576C"/>
    <w:rsid w:val="00FC2D9F"/>
    <w:rsid w:val="00FD2AA6"/>
    <w:rsid w:val="00FD40B4"/>
    <w:rsid w:val="00FD5A2A"/>
    <w:rsid w:val="00FE61E5"/>
    <w:rsid w:val="00FE6260"/>
    <w:rsid w:val="00FE746B"/>
    <w:rsid w:val="00FE7E8A"/>
    <w:rsid w:val="00FF477D"/>
    <w:rsid w:val="01963AC5"/>
    <w:rsid w:val="026E6DDD"/>
    <w:rsid w:val="041B280B"/>
    <w:rsid w:val="07583D71"/>
    <w:rsid w:val="080F4DB8"/>
    <w:rsid w:val="085C50C7"/>
    <w:rsid w:val="09AD50F5"/>
    <w:rsid w:val="09EB714C"/>
    <w:rsid w:val="0B7A69B0"/>
    <w:rsid w:val="0D222E5C"/>
    <w:rsid w:val="0E64514D"/>
    <w:rsid w:val="0E6C5A3B"/>
    <w:rsid w:val="0F4A7D3F"/>
    <w:rsid w:val="0F59642D"/>
    <w:rsid w:val="0FDA7A1E"/>
    <w:rsid w:val="11012AD5"/>
    <w:rsid w:val="13EC39BC"/>
    <w:rsid w:val="14D103C6"/>
    <w:rsid w:val="17797B1C"/>
    <w:rsid w:val="17F65611"/>
    <w:rsid w:val="18E67433"/>
    <w:rsid w:val="19A2504A"/>
    <w:rsid w:val="19BE3706"/>
    <w:rsid w:val="1AD97324"/>
    <w:rsid w:val="1B310649"/>
    <w:rsid w:val="1B495A57"/>
    <w:rsid w:val="1BA004BA"/>
    <w:rsid w:val="1BAC7F86"/>
    <w:rsid w:val="1C643BEC"/>
    <w:rsid w:val="1C925E48"/>
    <w:rsid w:val="20C1574F"/>
    <w:rsid w:val="20CA13E8"/>
    <w:rsid w:val="210C1A01"/>
    <w:rsid w:val="21271E30"/>
    <w:rsid w:val="22042D93"/>
    <w:rsid w:val="227C4964"/>
    <w:rsid w:val="22A70FE7"/>
    <w:rsid w:val="23EC5165"/>
    <w:rsid w:val="25901ED5"/>
    <w:rsid w:val="26F7280B"/>
    <w:rsid w:val="27EE2B60"/>
    <w:rsid w:val="28164F13"/>
    <w:rsid w:val="282835C4"/>
    <w:rsid w:val="29E61FAF"/>
    <w:rsid w:val="2A520044"/>
    <w:rsid w:val="2B17042D"/>
    <w:rsid w:val="2E8A531F"/>
    <w:rsid w:val="2FAC0992"/>
    <w:rsid w:val="308675AA"/>
    <w:rsid w:val="32764F2C"/>
    <w:rsid w:val="334601CD"/>
    <w:rsid w:val="33487E46"/>
    <w:rsid w:val="3477445E"/>
    <w:rsid w:val="35F04FF6"/>
    <w:rsid w:val="385579D8"/>
    <w:rsid w:val="3BA713EC"/>
    <w:rsid w:val="3C1934F8"/>
    <w:rsid w:val="3C4B3800"/>
    <w:rsid w:val="3C86541C"/>
    <w:rsid w:val="3E6E32C4"/>
    <w:rsid w:val="3ED25BE0"/>
    <w:rsid w:val="3ED454B4"/>
    <w:rsid w:val="3F80388E"/>
    <w:rsid w:val="4084196B"/>
    <w:rsid w:val="409969B6"/>
    <w:rsid w:val="41263FC1"/>
    <w:rsid w:val="418907AB"/>
    <w:rsid w:val="43EE7018"/>
    <w:rsid w:val="45315D53"/>
    <w:rsid w:val="45F442A6"/>
    <w:rsid w:val="47393F80"/>
    <w:rsid w:val="4867383D"/>
    <w:rsid w:val="4BB74194"/>
    <w:rsid w:val="4BEC1766"/>
    <w:rsid w:val="4C224BFA"/>
    <w:rsid w:val="4CAD39C5"/>
    <w:rsid w:val="4D110D1B"/>
    <w:rsid w:val="4DA60964"/>
    <w:rsid w:val="4DAB40F0"/>
    <w:rsid w:val="4DFA2A5E"/>
    <w:rsid w:val="4E4D25BD"/>
    <w:rsid w:val="4F891FE9"/>
    <w:rsid w:val="50052A51"/>
    <w:rsid w:val="52133DDD"/>
    <w:rsid w:val="529B7264"/>
    <w:rsid w:val="559D43FA"/>
    <w:rsid w:val="55F9044A"/>
    <w:rsid w:val="56921A85"/>
    <w:rsid w:val="56A3467A"/>
    <w:rsid w:val="57ED06D1"/>
    <w:rsid w:val="59EC3BA2"/>
    <w:rsid w:val="5A522FD2"/>
    <w:rsid w:val="5AED1980"/>
    <w:rsid w:val="5BBA55DA"/>
    <w:rsid w:val="5C313AEE"/>
    <w:rsid w:val="5D922D53"/>
    <w:rsid w:val="5E565A8E"/>
    <w:rsid w:val="60387B56"/>
    <w:rsid w:val="608A4A37"/>
    <w:rsid w:val="62A10094"/>
    <w:rsid w:val="62F20006"/>
    <w:rsid w:val="63253C81"/>
    <w:rsid w:val="6493288D"/>
    <w:rsid w:val="657D1B52"/>
    <w:rsid w:val="65F853C2"/>
    <w:rsid w:val="67A60A5B"/>
    <w:rsid w:val="67D068B1"/>
    <w:rsid w:val="68FF6BAB"/>
    <w:rsid w:val="6900148E"/>
    <w:rsid w:val="69C91440"/>
    <w:rsid w:val="6A1C6093"/>
    <w:rsid w:val="6C2733E7"/>
    <w:rsid w:val="6C6B0957"/>
    <w:rsid w:val="6DEA0B4E"/>
    <w:rsid w:val="6E3B25AB"/>
    <w:rsid w:val="6E55366C"/>
    <w:rsid w:val="6F347726"/>
    <w:rsid w:val="70253370"/>
    <w:rsid w:val="70FA499F"/>
    <w:rsid w:val="73BE3A62"/>
    <w:rsid w:val="73D61F49"/>
    <w:rsid w:val="755271FF"/>
    <w:rsid w:val="75D45D5F"/>
    <w:rsid w:val="765D7E8B"/>
    <w:rsid w:val="76701532"/>
    <w:rsid w:val="7789093C"/>
    <w:rsid w:val="793F72FE"/>
    <w:rsid w:val="79C44676"/>
    <w:rsid w:val="7AD65B35"/>
    <w:rsid w:val="7B2E3D9A"/>
    <w:rsid w:val="7B3A4316"/>
    <w:rsid w:val="7B3D3E06"/>
    <w:rsid w:val="7D733B0F"/>
    <w:rsid w:val="7D805DF5"/>
    <w:rsid w:val="7E490D14"/>
    <w:rsid w:val="7E89659A"/>
    <w:rsid w:val="7EE12CFA"/>
    <w:rsid w:val="7F1E5CFC"/>
    <w:rsid w:val="7FED61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locked/>
    <w:uiPriority w:val="0"/>
    <w:rPr>
      <w:rFonts w:ascii="宋体" w:hAnsi="Courier New"/>
      <w:szCs w:val="20"/>
    </w:rPr>
  </w:style>
  <w:style w:type="paragraph" w:styleId="3">
    <w:name w:val="annotation text"/>
    <w:basedOn w:val="1"/>
    <w:link w:val="15"/>
    <w:qFormat/>
    <w:uiPriority w:val="99"/>
    <w:pPr>
      <w:jc w:val="left"/>
    </w:pPr>
  </w:style>
  <w:style w:type="paragraph" w:styleId="4">
    <w:name w:val="Block Text"/>
    <w:basedOn w:val="1"/>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qFormat/>
    <w:uiPriority w:val="99"/>
    <w:pPr>
      <w:ind w:left="100" w:leftChars="2500"/>
    </w:p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qFormat/>
    <w:uiPriority w:val="99"/>
    <w:rPr>
      <w:b/>
      <w:bCs/>
    </w:r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annotation reference"/>
    <w:basedOn w:val="12"/>
    <w:qFormat/>
    <w:uiPriority w:val="99"/>
    <w:rPr>
      <w:rFonts w:cs="Times New Roman"/>
      <w:sz w:val="21"/>
    </w:rPr>
  </w:style>
  <w:style w:type="character" w:customStyle="1" w:styleId="15">
    <w:name w:val="Comment Text Char"/>
    <w:basedOn w:val="12"/>
    <w:link w:val="3"/>
    <w:semiHidden/>
    <w:qFormat/>
    <w:locked/>
    <w:uiPriority w:val="99"/>
    <w:rPr>
      <w:rFonts w:cs="Times New Roman"/>
      <w:kern w:val="2"/>
      <w:sz w:val="24"/>
    </w:rPr>
  </w:style>
  <w:style w:type="character" w:customStyle="1" w:styleId="16">
    <w:name w:val="Date Char"/>
    <w:basedOn w:val="12"/>
    <w:link w:val="5"/>
    <w:semiHidden/>
    <w:qFormat/>
    <w:locked/>
    <w:uiPriority w:val="99"/>
    <w:rPr>
      <w:rFonts w:cs="Times New Roman"/>
      <w:kern w:val="2"/>
      <w:sz w:val="24"/>
    </w:rPr>
  </w:style>
  <w:style w:type="character" w:customStyle="1" w:styleId="17">
    <w:name w:val="Balloon Text Char"/>
    <w:basedOn w:val="12"/>
    <w:link w:val="6"/>
    <w:semiHidden/>
    <w:qFormat/>
    <w:locked/>
    <w:uiPriority w:val="99"/>
    <w:rPr>
      <w:rFonts w:cs="Times New Roman"/>
      <w:kern w:val="2"/>
      <w:sz w:val="18"/>
    </w:rPr>
  </w:style>
  <w:style w:type="character" w:customStyle="1" w:styleId="18">
    <w:name w:val="Footer Char"/>
    <w:basedOn w:val="12"/>
    <w:link w:val="7"/>
    <w:qFormat/>
    <w:locked/>
    <w:uiPriority w:val="99"/>
    <w:rPr>
      <w:rFonts w:cs="Times New Roman"/>
      <w:kern w:val="2"/>
      <w:sz w:val="18"/>
    </w:rPr>
  </w:style>
  <w:style w:type="character" w:customStyle="1" w:styleId="19">
    <w:name w:val="Header Char"/>
    <w:basedOn w:val="12"/>
    <w:link w:val="8"/>
    <w:semiHidden/>
    <w:qFormat/>
    <w:locked/>
    <w:uiPriority w:val="99"/>
    <w:rPr>
      <w:rFonts w:cs="Times New Roman"/>
      <w:kern w:val="2"/>
      <w:sz w:val="18"/>
    </w:rPr>
  </w:style>
  <w:style w:type="character" w:customStyle="1" w:styleId="20">
    <w:name w:val="Comment Subject Char"/>
    <w:basedOn w:val="15"/>
    <w:link w:val="9"/>
    <w:semiHidden/>
    <w:qFormat/>
    <w:locked/>
    <w:uiPriority w:val="99"/>
    <w:rPr>
      <w:b/>
      <w:bCs/>
      <w:szCs w:val="24"/>
    </w:rPr>
  </w:style>
  <w:style w:type="character" w:customStyle="1" w:styleId="21">
    <w:name w:val="highlight"/>
    <w:basedOn w:val="12"/>
    <w:qFormat/>
    <w:uiPriority w:val="99"/>
    <w:rPr>
      <w:rFonts w:cs="Times New Roman"/>
    </w:rPr>
  </w:style>
  <w:style w:type="paragraph" w:customStyle="1" w:styleId="22">
    <w:name w:val="列出段落1"/>
    <w:basedOn w:val="1"/>
    <w:qFormat/>
    <w:uiPriority w:val="99"/>
    <w:pPr>
      <w:ind w:firstLine="420" w:firstLineChars="200"/>
    </w:pPr>
    <w:rPr>
      <w:rFonts w:ascii="Calibri" w:hAnsi="Calibri"/>
      <w:szCs w:val="22"/>
    </w:rPr>
  </w:style>
  <w:style w:type="character" w:customStyle="1" w:styleId="23">
    <w:name w:val="fontstyle01"/>
    <w:basedOn w:val="12"/>
    <w:qFormat/>
    <w:uiPriority w:val="99"/>
    <w:rPr>
      <w:rFonts w:ascii="FzBookMaker7DlFont70536871171" w:hAnsi="FzBookMaker7DlFont70536871171" w:cs="Times New Roman"/>
      <w:color w:val="000000"/>
      <w:sz w:val="20"/>
      <w:szCs w:val="20"/>
    </w:rPr>
  </w:style>
  <w:style w:type="character" w:customStyle="1" w:styleId="24">
    <w:name w:val="fontstyle11"/>
    <w:basedOn w:val="12"/>
    <w:qFormat/>
    <w:uiPriority w:val="99"/>
    <w:rPr>
      <w:rFonts w:ascii="FzBookMaker11DlFont110536871175" w:hAnsi="FzBookMaker11DlFont110536871175" w:cs="Times New Roman"/>
      <w:color w:val="000000"/>
      <w:sz w:val="20"/>
      <w:szCs w:val="20"/>
    </w:rPr>
  </w:style>
  <w:style w:type="character" w:customStyle="1" w:styleId="25">
    <w:name w:val="fontstyle21"/>
    <w:basedOn w:val="12"/>
    <w:qFormat/>
    <w:uiPriority w:val="99"/>
    <w:rPr>
      <w:rFonts w:ascii="FzBookMaker2DlFont20536871173" w:hAnsi="FzBookMaker2DlFont20536871173" w:cs="Times New Roman"/>
      <w:color w:val="000000"/>
      <w:sz w:val="20"/>
      <w:szCs w:val="20"/>
    </w:rPr>
  </w:style>
  <w:style w:type="paragraph" w:customStyle="1" w:styleId="26">
    <w:name w:val="段"/>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paragraph" w:styleId="2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3</Pages>
  <Words>904</Words>
  <Characters>1016</Characters>
  <Lines>0</Lines>
  <Paragraphs>0</Paragraphs>
  <TotalTime>5</TotalTime>
  <ScaleCrop>false</ScaleCrop>
  <LinksUpToDate>false</LinksUpToDate>
  <CharactersWithSpaces>1079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2021-07-05T10:43:00Z</cp:lastPrinted>
  <dcterms:modified xsi:type="dcterms:W3CDTF">2026-04-20T08:57:48Z</dcterms:modified>
  <dc:title>××产品质量监督抽查实施细则</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BB2031B7274E4CD48DE59B85493C41DD_13</vt:lpwstr>
  </property>
  <property fmtid="{D5CDD505-2E9C-101B-9397-08002B2CF9AE}" pid="4" name="KSOTemplateDocerSaveRecord">
    <vt:lpwstr>eyJoZGlkIjoiMzEwNTM5NzYwMDRjMzkwZTVkZjY2ODkwMGIxNGU0OTUiLCJ1c2VySWQiOiIzODA3NDc4MDQifQ==</vt:lpwstr>
  </property>
</Properties>
</file>