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Layout w:type="autofit"/>
        <w:tblCellMar>
          <w:top w:w="0" w:type="dxa"/>
          <w:left w:w="108" w:type="dxa"/>
          <w:bottom w:w="0" w:type="dxa"/>
          <w:right w:w="108" w:type="dxa"/>
        </w:tblCellMar>
      </w:tblPr>
      <w:tblGrid>
        <w:gridCol w:w="9173"/>
      </w:tblGrid>
      <w:tr w14:paraId="409C7B98">
        <w:tblPrEx>
          <w:tblCellMar>
            <w:top w:w="0" w:type="dxa"/>
            <w:left w:w="108" w:type="dxa"/>
            <w:bottom w:w="0" w:type="dxa"/>
            <w:right w:w="108" w:type="dxa"/>
          </w:tblCellMar>
        </w:tblPrEx>
        <w:trPr>
          <w:trHeight w:val="1085" w:hRule="atLeast"/>
        </w:trPr>
        <w:tc>
          <w:tcPr>
            <w:tcW w:w="9173" w:type="dxa"/>
          </w:tcPr>
          <w:p w14:paraId="260A2228">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0" b="825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200650" cy="190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2HHavUAAAABwEAAA8AAAAAAAAAAQAgAAAAIgAAAGRycy9kb3ducmV2LnhtbFBLAQIUABQAAAAI&#10;AIdO4kAx0EFi8QEAAMYDAAAOAAAAAAAAAAEAIAAAACMBAABkcnMvZTJvRG9jLnhtbFBLBQYAAAAA&#10;BgAGAFkBAACGBQ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72A56680">
      <w:pPr>
        <w:adjustRightInd w:val="0"/>
        <w:spacing w:line="480" w:lineRule="exact"/>
        <w:jc w:val="center"/>
        <w:rPr>
          <w:rFonts w:ascii="黑体" w:hAnsi="宋体" w:eastAsia="黑体"/>
          <w:b/>
          <w:sz w:val="52"/>
          <w:szCs w:val="52"/>
        </w:rPr>
      </w:pPr>
    </w:p>
    <w:p w14:paraId="1A7B5EC7">
      <w:pPr>
        <w:adjustRightInd w:val="0"/>
        <w:spacing w:line="480" w:lineRule="exact"/>
        <w:jc w:val="center"/>
        <w:rPr>
          <w:rFonts w:ascii="黑体" w:hAnsi="宋体" w:eastAsia="黑体"/>
          <w:b/>
          <w:sz w:val="52"/>
          <w:szCs w:val="52"/>
        </w:rPr>
      </w:pPr>
    </w:p>
    <w:p w14:paraId="7A6EC92D">
      <w:pPr>
        <w:adjustRightInd w:val="0"/>
        <w:spacing w:line="480" w:lineRule="exact"/>
        <w:jc w:val="center"/>
        <w:rPr>
          <w:rFonts w:ascii="黑体" w:hAnsi="宋体" w:eastAsia="黑体"/>
          <w:b/>
          <w:sz w:val="52"/>
          <w:szCs w:val="52"/>
        </w:rPr>
      </w:pPr>
    </w:p>
    <w:p w14:paraId="1160F57F">
      <w:pPr>
        <w:adjustRightInd w:val="0"/>
        <w:spacing w:line="480" w:lineRule="exact"/>
        <w:jc w:val="center"/>
        <w:rPr>
          <w:rFonts w:ascii="黑体" w:hAnsi="宋体" w:eastAsia="黑体"/>
          <w:b/>
          <w:sz w:val="52"/>
          <w:szCs w:val="52"/>
        </w:rPr>
      </w:pPr>
    </w:p>
    <w:p w14:paraId="0D9AD79E">
      <w:pPr>
        <w:adjustRightInd w:val="0"/>
        <w:spacing w:line="480" w:lineRule="exact"/>
        <w:jc w:val="center"/>
        <w:rPr>
          <w:rFonts w:ascii="黑体" w:hAnsi="宋体" w:eastAsia="黑体"/>
          <w:b/>
          <w:sz w:val="52"/>
          <w:szCs w:val="52"/>
        </w:rPr>
      </w:pPr>
    </w:p>
    <w:p w14:paraId="1FD8804F">
      <w:pPr>
        <w:adjustRightInd w:val="0"/>
        <w:spacing w:line="480" w:lineRule="exact"/>
        <w:jc w:val="center"/>
        <w:rPr>
          <w:rFonts w:ascii="黑体" w:hAnsi="宋体" w:eastAsia="黑体"/>
          <w:b/>
          <w:sz w:val="52"/>
          <w:szCs w:val="52"/>
        </w:rPr>
      </w:pPr>
    </w:p>
    <w:p w14:paraId="4575579C">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202</w:t>
      </w:r>
      <w:r>
        <w:rPr>
          <w:rFonts w:hint="eastAsia" w:ascii="黑体" w:hAnsi="黑体" w:eastAsia="黑体" w:cs="黑体"/>
          <w:b/>
          <w:bCs/>
          <w:sz w:val="44"/>
          <w:szCs w:val="44"/>
          <w:lang w:val="en-US" w:eastAsia="zh-CN"/>
        </w:rPr>
        <w:t>5</w:t>
      </w:r>
      <w:r>
        <w:rPr>
          <w:rFonts w:hint="eastAsia" w:ascii="黑体" w:hAnsi="黑体" w:eastAsia="黑体" w:cs="黑体"/>
          <w:b/>
          <w:bCs/>
          <w:sz w:val="44"/>
          <w:szCs w:val="44"/>
        </w:rPr>
        <w:t>年</w:t>
      </w:r>
      <w:r>
        <w:rPr>
          <w:rFonts w:hint="eastAsia" w:ascii="黑体" w:hAnsi="黑体" w:eastAsia="黑体" w:cs="黑体"/>
          <w:b/>
          <w:bCs/>
          <w:sz w:val="44"/>
          <w:szCs w:val="44"/>
          <w:lang w:eastAsia="zh-CN"/>
        </w:rPr>
        <w:t>伊犁哈萨克自治州</w:t>
      </w:r>
      <w:r>
        <w:rPr>
          <w:rFonts w:hint="eastAsia" w:ascii="黑体" w:hAnsi="黑体" w:eastAsia="黑体" w:cs="黑体"/>
          <w:b/>
          <w:bCs/>
          <w:sz w:val="44"/>
          <w:szCs w:val="44"/>
        </w:rPr>
        <w:t>通用硅酸盐水泥产品质量监督抽查实施细则</w:t>
      </w:r>
    </w:p>
    <w:p w14:paraId="4B1CE4F1">
      <w:pPr>
        <w:tabs>
          <w:tab w:val="left" w:pos="6930"/>
        </w:tabs>
        <w:adjustRightInd w:val="0"/>
        <w:spacing w:line="480" w:lineRule="exact"/>
        <w:jc w:val="left"/>
        <w:rPr>
          <w:rFonts w:ascii="黑体" w:hAnsi="黑体" w:eastAsia="黑体" w:cs="黑体"/>
          <w:b/>
          <w:bCs/>
          <w:sz w:val="44"/>
          <w:szCs w:val="44"/>
        </w:rPr>
      </w:pPr>
    </w:p>
    <w:p w14:paraId="10FAD27D">
      <w:pPr>
        <w:tabs>
          <w:tab w:val="left" w:pos="6930"/>
        </w:tabs>
        <w:adjustRightInd w:val="0"/>
        <w:spacing w:line="480" w:lineRule="exact"/>
        <w:jc w:val="left"/>
        <w:rPr>
          <w:rFonts w:ascii="黑体" w:hAnsi="宋体" w:eastAsia="黑体"/>
          <w:b/>
          <w:sz w:val="52"/>
          <w:szCs w:val="52"/>
        </w:rPr>
      </w:pPr>
    </w:p>
    <w:p w14:paraId="4661335F">
      <w:pPr>
        <w:adjustRightInd w:val="0"/>
        <w:spacing w:line="480" w:lineRule="exact"/>
        <w:jc w:val="center"/>
        <w:rPr>
          <w:rFonts w:ascii="黑体" w:hAnsi="宋体" w:eastAsia="黑体"/>
          <w:b/>
          <w:sz w:val="52"/>
          <w:szCs w:val="52"/>
        </w:rPr>
      </w:pPr>
    </w:p>
    <w:p w14:paraId="7B335621">
      <w:pPr>
        <w:adjustRightInd w:val="0"/>
        <w:spacing w:line="480" w:lineRule="exact"/>
        <w:jc w:val="center"/>
        <w:rPr>
          <w:rFonts w:ascii="黑体" w:hAnsi="宋体" w:eastAsia="黑体"/>
          <w:b/>
          <w:sz w:val="52"/>
          <w:szCs w:val="52"/>
        </w:rPr>
      </w:pPr>
    </w:p>
    <w:p w14:paraId="2146E497">
      <w:pPr>
        <w:adjustRightInd w:val="0"/>
        <w:spacing w:line="480" w:lineRule="exact"/>
        <w:jc w:val="center"/>
        <w:rPr>
          <w:rFonts w:ascii="黑体" w:hAnsi="宋体" w:eastAsia="黑体"/>
          <w:b/>
          <w:sz w:val="52"/>
          <w:szCs w:val="52"/>
        </w:rPr>
      </w:pPr>
    </w:p>
    <w:p w14:paraId="2A5C9DBD">
      <w:pPr>
        <w:adjustRightInd w:val="0"/>
        <w:spacing w:line="480" w:lineRule="exact"/>
        <w:jc w:val="center"/>
        <w:rPr>
          <w:rFonts w:ascii="黑体" w:hAnsi="宋体" w:eastAsia="黑体"/>
          <w:b/>
          <w:sz w:val="52"/>
          <w:szCs w:val="52"/>
        </w:rPr>
      </w:pPr>
    </w:p>
    <w:p w14:paraId="302BB9A5">
      <w:pPr>
        <w:adjustRightInd w:val="0"/>
        <w:spacing w:line="480" w:lineRule="exact"/>
        <w:jc w:val="center"/>
        <w:rPr>
          <w:rFonts w:ascii="黑体" w:hAnsi="宋体" w:eastAsia="黑体"/>
          <w:sz w:val="52"/>
          <w:szCs w:val="52"/>
        </w:rPr>
      </w:pPr>
    </w:p>
    <w:p w14:paraId="1BCD6B4F">
      <w:pPr>
        <w:adjustRightInd w:val="0"/>
        <w:spacing w:line="480" w:lineRule="exact"/>
        <w:jc w:val="center"/>
        <w:rPr>
          <w:rFonts w:ascii="黑体" w:hAnsi="宋体" w:eastAsia="黑体"/>
          <w:sz w:val="52"/>
          <w:szCs w:val="52"/>
        </w:rPr>
      </w:pPr>
    </w:p>
    <w:p w14:paraId="3D74295A">
      <w:pPr>
        <w:adjustRightInd w:val="0"/>
        <w:spacing w:line="480" w:lineRule="exact"/>
        <w:jc w:val="center"/>
        <w:rPr>
          <w:rFonts w:ascii="黑体" w:hAnsi="宋体" w:eastAsia="黑体"/>
          <w:sz w:val="52"/>
          <w:szCs w:val="52"/>
        </w:rPr>
      </w:pPr>
    </w:p>
    <w:p w14:paraId="0F79249D">
      <w:pPr>
        <w:adjustRightInd w:val="0"/>
        <w:spacing w:line="480" w:lineRule="exact"/>
        <w:jc w:val="center"/>
        <w:rPr>
          <w:rFonts w:ascii="黑体" w:hAnsi="宋体" w:eastAsia="黑体"/>
          <w:b/>
          <w:sz w:val="52"/>
          <w:szCs w:val="52"/>
        </w:rPr>
      </w:pPr>
    </w:p>
    <w:p w14:paraId="1B667C08">
      <w:pPr>
        <w:adjustRightInd w:val="0"/>
        <w:spacing w:line="480" w:lineRule="exact"/>
        <w:jc w:val="center"/>
        <w:rPr>
          <w:rFonts w:ascii="黑体" w:hAnsi="宋体" w:eastAsia="黑体"/>
          <w:b/>
          <w:sz w:val="52"/>
          <w:szCs w:val="52"/>
        </w:rPr>
      </w:pPr>
    </w:p>
    <w:p w14:paraId="55A7CF67">
      <w:pPr>
        <w:adjustRightInd w:val="0"/>
        <w:spacing w:line="480" w:lineRule="exact"/>
        <w:rPr>
          <w:rFonts w:ascii="黑体" w:hAnsi="宋体" w:eastAsia="黑体"/>
          <w:b/>
          <w:sz w:val="52"/>
          <w:szCs w:val="52"/>
        </w:rPr>
      </w:pPr>
    </w:p>
    <w:p w14:paraId="2AFA9CBB">
      <w:pPr>
        <w:adjustRightInd w:val="0"/>
        <w:spacing w:line="480" w:lineRule="exact"/>
        <w:rPr>
          <w:rFonts w:ascii="黑体" w:hAnsi="宋体" w:eastAsia="黑体"/>
          <w:b/>
          <w:sz w:val="52"/>
          <w:szCs w:val="52"/>
        </w:rPr>
      </w:pPr>
    </w:p>
    <w:p w14:paraId="00FCA1D6">
      <w:pPr>
        <w:adjustRightInd w:val="0"/>
        <w:spacing w:line="480" w:lineRule="exact"/>
        <w:rPr>
          <w:rFonts w:ascii="黑体" w:hAnsi="宋体" w:eastAsia="黑体"/>
          <w:b/>
          <w:sz w:val="52"/>
          <w:szCs w:val="52"/>
        </w:rPr>
      </w:pPr>
    </w:p>
    <w:p w14:paraId="63757FC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ascii="黑体" w:hAnsi="黑体" w:eastAsia="黑体" w:cs="黑体"/>
          <w:b/>
          <w:bCs/>
          <w:sz w:val="24"/>
        </w:rPr>
      </w:pPr>
      <w:r>
        <w:rPr>
          <w:rFonts w:hint="eastAsia" w:ascii="黑体" w:hAnsi="黑体" w:eastAsia="黑体" w:cs="黑体"/>
          <w:sz w:val="24"/>
        </w:rPr>
        <w:t>202</w:t>
      </w:r>
      <w:r>
        <w:rPr>
          <w:rFonts w:hint="eastAsia" w:ascii="黑体" w:hAnsi="黑体" w:eastAsia="黑体" w:cs="黑体"/>
          <w:sz w:val="24"/>
          <w:lang w:val="en-US" w:eastAsia="zh-CN"/>
        </w:rPr>
        <w:t>5</w:t>
      </w:r>
      <w:r>
        <w:rPr>
          <w:rFonts w:hint="eastAsia" w:ascii="黑体" w:hAnsi="黑体" w:eastAsia="黑体" w:cs="黑体"/>
          <w:sz w:val="24"/>
        </w:rPr>
        <w:t>-</w:t>
      </w:r>
      <w:r>
        <w:rPr>
          <w:rFonts w:hint="eastAsia" w:ascii="黑体" w:hAnsi="黑体" w:eastAsia="黑体" w:cs="黑体"/>
          <w:sz w:val="24"/>
          <w:lang w:val="en-US" w:eastAsia="zh-CN"/>
        </w:rPr>
        <w:t>00</w:t>
      </w:r>
      <w:r>
        <w:rPr>
          <w:rFonts w:ascii="黑体" w:hAnsi="黑体" w:eastAsia="黑体" w:cs="黑体"/>
          <w:sz w:val="24"/>
        </w:rPr>
        <w:t>-</w:t>
      </w:r>
      <w:r>
        <w:rPr>
          <w:rFonts w:hint="eastAsia" w:ascii="黑体" w:hAnsi="黑体" w:eastAsia="黑体" w:cs="黑体"/>
          <w:sz w:val="24"/>
          <w:lang w:val="en-US" w:eastAsia="zh-CN"/>
        </w:rPr>
        <w:t>00</w:t>
      </w:r>
      <w:r>
        <w:rPr>
          <w:rFonts w:hint="eastAsia" w:ascii="黑体" w:hAnsi="黑体" w:eastAsia="黑体" w:cs="黑体"/>
          <w:sz w:val="24"/>
        </w:rPr>
        <w:t>发布                                        202</w:t>
      </w:r>
      <w:r>
        <w:rPr>
          <w:rFonts w:hint="eastAsia" w:ascii="黑体" w:hAnsi="黑体" w:eastAsia="黑体" w:cs="黑体"/>
          <w:sz w:val="24"/>
          <w:lang w:val="en-US" w:eastAsia="zh-CN"/>
        </w:rPr>
        <w:t>5</w:t>
      </w:r>
      <w:r>
        <w:rPr>
          <w:rFonts w:hint="eastAsia" w:ascii="黑体" w:hAnsi="黑体" w:eastAsia="黑体" w:cs="黑体"/>
          <w:sz w:val="24"/>
        </w:rPr>
        <w:t>-0</w:t>
      </w:r>
      <w:r>
        <w:rPr>
          <w:rFonts w:hint="eastAsia" w:ascii="黑体" w:hAnsi="黑体" w:eastAsia="黑体" w:cs="黑体"/>
          <w:sz w:val="24"/>
          <w:lang w:val="en-US" w:eastAsia="zh-CN"/>
        </w:rPr>
        <w:t>0</w:t>
      </w:r>
      <w:r>
        <w:rPr>
          <w:rFonts w:ascii="黑体" w:hAnsi="黑体" w:eastAsia="黑体" w:cs="黑体"/>
          <w:sz w:val="24"/>
        </w:rPr>
        <w:t>-</w:t>
      </w:r>
      <w:r>
        <w:rPr>
          <w:rFonts w:hint="eastAsia" w:ascii="黑体" w:hAnsi="黑体" w:eastAsia="黑体" w:cs="黑体"/>
          <w:sz w:val="24"/>
          <w:lang w:val="en-US" w:eastAsia="zh-CN"/>
        </w:rPr>
        <w:t>00</w:t>
      </w:r>
      <w:r>
        <w:rPr>
          <w:rFonts w:hint="eastAsia" w:ascii="黑体" w:hAnsi="黑体" w:eastAsia="黑体" w:cs="黑体"/>
          <w:sz w:val="24"/>
        </w:rPr>
        <w:t>实施</w:t>
      </w:r>
    </w:p>
    <w:p w14:paraId="0C5DA72D">
      <w:pPr>
        <w:keepNext w:val="0"/>
        <w:keepLines w:val="0"/>
        <w:pageBreakBefore w:val="0"/>
        <w:widowControl w:val="0"/>
        <w:kinsoku/>
        <w:wordWrap/>
        <w:overflowPunct/>
        <w:topLinePunct w:val="0"/>
        <w:autoSpaceDE/>
        <w:autoSpaceDN/>
        <w:bidi w:val="0"/>
        <w:snapToGrid/>
        <w:spacing w:line="360" w:lineRule="auto"/>
        <w:jc w:val="center"/>
        <w:textAlignment w:val="auto"/>
        <w:rPr>
          <w:rFonts w:ascii="黑体" w:hAnsi="宋体" w:eastAsia="黑体" w:cs="黑体"/>
          <w:sz w:val="32"/>
          <w:szCs w:val="32"/>
        </w:rPr>
        <w:sectPr>
          <w:footerReference r:id="rId7" w:type="first"/>
          <w:headerReference r:id="rId3" w:type="default"/>
          <w:footerReference r:id="rId5" w:type="default"/>
          <w:headerReference r:id="rId4" w:type="even"/>
          <w:footerReference r:id="rId6" w:type="even"/>
          <w:pgSz w:w="11906" w:h="16838"/>
          <w:pgMar w:top="1985" w:right="1361" w:bottom="1361" w:left="1588" w:header="851" w:footer="992" w:gutter="0"/>
          <w:pgNumType w:start="1"/>
          <w:cols w:space="720" w:num="1"/>
          <w:titlePg/>
          <w:docGrid w:type="lines" w:linePitch="312" w:charSpace="0"/>
        </w:sectPr>
      </w:pPr>
      <w:r>
        <w:rPr>
          <w:rFonts w:hint="eastAsia" w:ascii="黑体" w:hAnsi="宋体" w:eastAsia="黑体" w:cs="黑体"/>
          <w:sz w:val="32"/>
          <w:szCs w:val="32"/>
          <w:lang w:eastAsia="zh-CN"/>
        </w:rPr>
        <w:t>伊犁哈萨克自治州</w:t>
      </w:r>
      <w:r>
        <w:rPr>
          <w:rFonts w:hint="eastAsia" w:ascii="黑体" w:hAnsi="宋体" w:eastAsia="黑体" w:cs="黑体"/>
          <w:sz w:val="32"/>
          <w:szCs w:val="32"/>
        </w:rPr>
        <w:t>市场监督管理局</w:t>
      </w:r>
      <w:r>
        <w:rPr>
          <w:rFonts w:ascii="黑体" w:hAnsi="宋体" w:eastAsia="黑体" w:cs="黑体"/>
          <w:sz w:val="32"/>
          <w:szCs w:val="32"/>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9525" r="17145" b="9525"/>
                <wp:wrapNone/>
                <wp:docPr id="1" name="自选图形 3"/>
                <wp:cNvGraphicFramePr/>
                <a:graphic xmlns:a="http://schemas.openxmlformats.org/drawingml/2006/main">
                  <a:graphicData uri="http://schemas.microsoft.com/office/word/2010/wordprocessingShape">
                    <wps:wsp>
                      <wps:cNvCnPr/>
                      <wps:spPr>
                        <a:xfrm>
                          <a:off x="0" y="0"/>
                          <a:ext cx="583120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5b0r0wAAAAcBAAAPAAAAAAAAAAEAIAAAACIAAABkcnMvZG93bnJldi54bWxQSwECFAAU&#10;AAAACACHTuJAc2HeCPYBAADkAwAADgAAAAAAAAABACAAAAAiAQAAZHJzL2Uyb0RvYy54bWxQSwUG&#10;AAAAAAYABgBZAQAAigUAAAAA&#10;">
                <v:fill on="f" focussize="0,0"/>
                <v:stroke weight="1.5pt" color="#000000" joinstyle="round"/>
                <v:imagedata o:title=""/>
                <o:lock v:ext="edit" aspectratio="f"/>
              </v:shape>
            </w:pict>
          </mc:Fallback>
        </mc:AlternateContent>
      </w:r>
    </w:p>
    <w:p w14:paraId="21A79FF4">
      <w:pPr>
        <w:spacing w:line="360" w:lineRule="auto"/>
        <w:jc w:val="center"/>
        <w:rPr>
          <w:rFonts w:hint="eastAsia" w:ascii="方正小标宋_GBK" w:hAnsi="方正小标宋_GBK" w:eastAsia="方正小标宋_GBK" w:cs="方正小标宋_GBK"/>
          <w:b/>
          <w:color w:val="000000"/>
          <w:sz w:val="32"/>
          <w:szCs w:val="32"/>
        </w:rPr>
      </w:pPr>
      <w:r>
        <w:rPr>
          <w:rFonts w:hint="eastAsia" w:ascii="方正小标宋_GBK" w:hAnsi="方正小标宋_GBK" w:eastAsia="方正小标宋_GBK" w:cs="方正小标宋_GBK"/>
          <w:b/>
          <w:color w:val="000000"/>
          <w:sz w:val="32"/>
          <w:szCs w:val="32"/>
        </w:rPr>
        <w:t>202</w:t>
      </w:r>
      <w:r>
        <w:rPr>
          <w:rFonts w:hint="eastAsia" w:ascii="方正小标宋_GBK" w:hAnsi="方正小标宋_GBK" w:eastAsia="方正小标宋_GBK" w:cs="方正小标宋_GBK"/>
          <w:b/>
          <w:color w:val="000000"/>
          <w:sz w:val="32"/>
          <w:szCs w:val="32"/>
          <w:lang w:val="en-US" w:eastAsia="zh-CN"/>
        </w:rPr>
        <w:t>5</w:t>
      </w:r>
      <w:r>
        <w:rPr>
          <w:rFonts w:hint="eastAsia" w:ascii="方正小标宋_GBK" w:hAnsi="方正小标宋_GBK" w:eastAsia="方正小标宋_GBK" w:cs="方正小标宋_GBK"/>
          <w:b/>
          <w:color w:val="000000"/>
          <w:sz w:val="32"/>
          <w:szCs w:val="32"/>
        </w:rPr>
        <w:t>年</w:t>
      </w:r>
      <w:r>
        <w:rPr>
          <w:rFonts w:hint="eastAsia" w:ascii="方正小标宋_GBK" w:hAnsi="方正小标宋_GBK" w:eastAsia="方正小标宋_GBK" w:cs="方正小标宋_GBK"/>
          <w:b/>
          <w:color w:val="000000"/>
          <w:sz w:val="32"/>
          <w:szCs w:val="32"/>
          <w:lang w:eastAsia="zh-CN"/>
        </w:rPr>
        <w:t>伊犁哈萨克自治州</w:t>
      </w:r>
      <w:r>
        <w:rPr>
          <w:rFonts w:hint="eastAsia" w:ascii="方正小标宋_GBK" w:hAnsi="方正小标宋_GBK" w:eastAsia="方正小标宋_GBK" w:cs="方正小标宋_GBK"/>
          <w:b/>
          <w:color w:val="000000"/>
          <w:sz w:val="32"/>
          <w:szCs w:val="32"/>
        </w:rPr>
        <w:t>通用硅酸盐水泥产品质量</w:t>
      </w:r>
    </w:p>
    <w:p w14:paraId="046D0DA9">
      <w:pPr>
        <w:spacing w:line="360" w:lineRule="auto"/>
        <w:jc w:val="center"/>
        <w:rPr>
          <w:rFonts w:hint="eastAsia" w:ascii="方正小标宋_GBK" w:hAnsi="方正小标宋_GBK" w:eastAsia="方正小标宋_GBK" w:cs="方正小标宋_GBK"/>
          <w:b/>
          <w:color w:val="000000"/>
          <w:sz w:val="32"/>
          <w:szCs w:val="32"/>
        </w:rPr>
      </w:pPr>
      <w:r>
        <w:rPr>
          <w:rFonts w:hint="eastAsia" w:ascii="方正小标宋_GBK" w:hAnsi="方正小标宋_GBK" w:eastAsia="方正小标宋_GBK" w:cs="方正小标宋_GBK"/>
          <w:b/>
          <w:color w:val="000000"/>
          <w:sz w:val="32"/>
          <w:szCs w:val="32"/>
        </w:rPr>
        <w:t>监督抽查实施细则</w:t>
      </w:r>
    </w:p>
    <w:p w14:paraId="7F5B52F0">
      <w:pPr>
        <w:spacing w:line="360" w:lineRule="auto"/>
        <w:jc w:val="center"/>
        <w:rPr>
          <w:rFonts w:hint="eastAsia" w:ascii="方正小标宋简体" w:hAnsi="仿宋" w:eastAsia="方正小标宋简体" w:cs="方正仿宋简体"/>
          <w:b/>
          <w:color w:val="000000"/>
          <w:sz w:val="32"/>
          <w:szCs w:val="32"/>
        </w:rPr>
      </w:pPr>
    </w:p>
    <w:p w14:paraId="2C5AED14">
      <w:pPr>
        <w:snapToGrid w:val="0"/>
        <w:spacing w:line="360" w:lineRule="auto"/>
        <w:rPr>
          <w:rFonts w:hint="eastAsia" w:ascii="宋体" w:hAnsi="宋体"/>
          <w:color w:val="000000"/>
          <w:szCs w:val="21"/>
        </w:rPr>
      </w:pPr>
      <w:r>
        <w:rPr>
          <w:rFonts w:hint="eastAsia" w:ascii="黑体" w:hAnsi="黑体" w:eastAsia="黑体"/>
          <w:b/>
          <w:szCs w:val="21"/>
        </w:rPr>
        <w:t>1 抽样方法</w:t>
      </w:r>
    </w:p>
    <w:p w14:paraId="7117A095">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以随机抽样的方式在被抽样生产者、销售者的待销产品中抽取。</w:t>
      </w:r>
    </w:p>
    <w:p w14:paraId="11918932">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随机数一般可使用随机数表等方法产生。</w:t>
      </w:r>
    </w:p>
    <w:p w14:paraId="733B3F26">
      <w:pPr>
        <w:snapToGrid w:val="0"/>
        <w:spacing w:line="360" w:lineRule="auto"/>
        <w:ind w:firstLine="420" w:firstLineChars="200"/>
        <w:rPr>
          <w:rFonts w:hint="default" w:ascii="宋体" w:hAnsi="宋体"/>
          <w:color w:val="000000"/>
          <w:szCs w:val="21"/>
        </w:rPr>
      </w:pPr>
      <w:r>
        <w:rPr>
          <w:rFonts w:hint="default" w:ascii="宋体" w:hAnsi="宋体"/>
          <w:color w:val="000000"/>
          <w:szCs w:val="21"/>
        </w:rPr>
        <w:t>通用硅酸盐水泥：执行标准GB</w:t>
      </w:r>
      <w:r>
        <w:rPr>
          <w:rFonts w:hint="eastAsia" w:ascii="宋体" w:hAnsi="宋体"/>
          <w:color w:val="000000"/>
          <w:szCs w:val="21"/>
        </w:rPr>
        <w:t xml:space="preserve"> 175</w:t>
      </w:r>
      <w:r>
        <w:rPr>
          <w:rFonts w:hint="default" w:ascii="宋体" w:hAnsi="宋体"/>
          <w:color w:val="000000"/>
          <w:szCs w:val="21"/>
        </w:rPr>
        <w:t>—</w:t>
      </w:r>
      <w:r>
        <w:rPr>
          <w:rFonts w:hint="eastAsia" w:ascii="宋体" w:hAnsi="宋体"/>
          <w:color w:val="000000"/>
          <w:szCs w:val="21"/>
        </w:rPr>
        <w:t>2023</w:t>
      </w:r>
      <w:r>
        <w:rPr>
          <w:rFonts w:hint="default" w:ascii="宋体" w:hAnsi="宋体"/>
          <w:color w:val="000000"/>
          <w:szCs w:val="21"/>
        </w:rPr>
        <w:t>：每批次抽取的样品数量不得少于2</w:t>
      </w:r>
      <w:r>
        <w:rPr>
          <w:rFonts w:hint="eastAsia" w:ascii="宋体" w:hAnsi="宋体"/>
          <w:color w:val="000000"/>
          <w:szCs w:val="21"/>
          <w:lang w:val="en-US" w:eastAsia="zh-CN"/>
        </w:rPr>
        <w:t>0</w:t>
      </w:r>
      <w:r>
        <w:rPr>
          <w:rFonts w:hint="default" w:ascii="宋体" w:hAnsi="宋体"/>
          <w:color w:val="000000"/>
          <w:szCs w:val="21"/>
        </w:rPr>
        <w:t>kg，将样品均分为两份，每份至少1</w:t>
      </w:r>
      <w:r>
        <w:rPr>
          <w:rFonts w:hint="eastAsia" w:ascii="宋体" w:hAnsi="宋体"/>
          <w:color w:val="000000"/>
          <w:szCs w:val="21"/>
          <w:lang w:val="en-US" w:eastAsia="zh-CN"/>
        </w:rPr>
        <w:t>0</w:t>
      </w:r>
      <w:r>
        <w:rPr>
          <w:rFonts w:hint="default" w:ascii="宋体" w:hAnsi="宋体"/>
          <w:color w:val="000000"/>
          <w:szCs w:val="21"/>
        </w:rPr>
        <w:t>kg，其中一份为检验样品，另一份为备用样品。</w:t>
      </w:r>
    </w:p>
    <w:p w14:paraId="14A24425">
      <w:pPr>
        <w:snapToGrid w:val="0"/>
        <w:spacing w:line="360" w:lineRule="auto"/>
        <w:ind w:firstLine="420" w:firstLineChars="200"/>
        <w:rPr>
          <w:rFonts w:hint="eastAsia" w:ascii="宋体" w:hAnsi="宋体"/>
          <w:color w:val="000000"/>
          <w:szCs w:val="21"/>
        </w:rPr>
      </w:pPr>
    </w:p>
    <w:p w14:paraId="664CAEFD">
      <w:pPr>
        <w:adjustRightInd w:val="0"/>
        <w:snapToGrid w:val="0"/>
        <w:spacing w:line="360" w:lineRule="auto"/>
        <w:rPr>
          <w:rFonts w:hint="eastAsia" w:ascii="宋体" w:hAnsi="宋体" w:eastAsia="宋体" w:cs="宋体"/>
          <w:szCs w:val="22"/>
        </w:rPr>
      </w:pPr>
      <w:r>
        <w:rPr>
          <w:rFonts w:hint="eastAsia" w:ascii="黑体" w:hAnsi="黑体" w:eastAsia="黑体"/>
          <w:b/>
          <w:szCs w:val="21"/>
        </w:rPr>
        <w:t>2 检验依据</w:t>
      </w:r>
    </w:p>
    <w:p w14:paraId="1272ECB2">
      <w:pPr>
        <w:snapToGrid w:val="0"/>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highlight w:val="none"/>
        </w:rPr>
        <w:t>表1</w:t>
      </w:r>
      <w:r>
        <w:rPr>
          <w:rFonts w:asciiTheme="minorEastAsia" w:hAnsiTheme="minorEastAsia" w:eastAsiaTheme="minorEastAsia"/>
          <w:bCs/>
          <w:color w:val="000000"/>
          <w:sz w:val="18"/>
          <w:szCs w:val="18"/>
        </w:rPr>
        <w:t>通用硅酸盐</w:t>
      </w:r>
      <w:r>
        <w:rPr>
          <w:rFonts w:hint="eastAsia" w:asciiTheme="minorEastAsia" w:hAnsiTheme="minorEastAsia" w:eastAsiaTheme="minorEastAsia"/>
          <w:bCs/>
          <w:color w:val="000000"/>
          <w:sz w:val="18"/>
          <w:szCs w:val="18"/>
        </w:rPr>
        <w:t>水泥</w:t>
      </w:r>
      <w:r>
        <w:rPr>
          <w:rFonts w:hint="eastAsia" w:asciiTheme="minorEastAsia" w:hAnsiTheme="minorEastAsia" w:eastAsiaTheme="minorEastAsia"/>
          <w:bCs/>
          <w:color w:val="000000"/>
          <w:sz w:val="18"/>
          <w:szCs w:val="18"/>
          <w:lang w:eastAsia="zh-CN"/>
        </w:rPr>
        <w:t>（</w:t>
      </w:r>
      <w:r>
        <w:rPr>
          <w:rFonts w:hint="eastAsia" w:asciiTheme="minorEastAsia" w:hAnsiTheme="minorEastAsia" w:eastAsiaTheme="minorEastAsia"/>
          <w:bCs/>
          <w:color w:val="000000"/>
          <w:sz w:val="18"/>
          <w:szCs w:val="18"/>
          <w:lang w:val="en-US" w:eastAsia="zh-CN"/>
        </w:rPr>
        <w:t>执行GB 175-2023</w:t>
      </w:r>
      <w:r>
        <w:rPr>
          <w:rFonts w:hint="eastAsia" w:asciiTheme="minorEastAsia" w:hAnsiTheme="minorEastAsia" w:eastAsiaTheme="minorEastAsia"/>
          <w:bCs/>
          <w:color w:val="000000"/>
          <w:sz w:val="18"/>
          <w:szCs w:val="18"/>
          <w:lang w:eastAsia="zh-CN"/>
        </w:rPr>
        <w:t>）</w:t>
      </w:r>
    </w:p>
    <w:tbl>
      <w:tblPr>
        <w:tblStyle w:val="9"/>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4198"/>
        <w:gridCol w:w="3818"/>
      </w:tblGrid>
      <w:tr w14:paraId="04FF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blHeader/>
        </w:trPr>
        <w:tc>
          <w:tcPr>
            <w:tcW w:w="1158" w:type="dxa"/>
            <w:noWrap w:val="0"/>
            <w:vAlign w:val="center"/>
          </w:tcPr>
          <w:p w14:paraId="38E5CAE7">
            <w:pPr>
              <w:snapToGrid w:val="0"/>
              <w:jc w:val="center"/>
              <w:rPr>
                <w:szCs w:val="21"/>
              </w:rPr>
            </w:pPr>
            <w:r>
              <w:rPr>
                <w:szCs w:val="21"/>
              </w:rPr>
              <w:t>序号</w:t>
            </w:r>
          </w:p>
        </w:tc>
        <w:tc>
          <w:tcPr>
            <w:tcW w:w="4198" w:type="dxa"/>
            <w:noWrap w:val="0"/>
            <w:vAlign w:val="center"/>
          </w:tcPr>
          <w:p w14:paraId="38FC0959">
            <w:pPr>
              <w:snapToGrid w:val="0"/>
              <w:jc w:val="center"/>
              <w:rPr>
                <w:szCs w:val="21"/>
              </w:rPr>
            </w:pPr>
            <w:r>
              <w:rPr>
                <w:szCs w:val="21"/>
              </w:rPr>
              <w:t>检验项目</w:t>
            </w:r>
          </w:p>
        </w:tc>
        <w:tc>
          <w:tcPr>
            <w:tcW w:w="3818" w:type="dxa"/>
            <w:tcBorders>
              <w:bottom w:val="single" w:color="auto" w:sz="4" w:space="0"/>
            </w:tcBorders>
            <w:noWrap w:val="0"/>
            <w:vAlign w:val="center"/>
          </w:tcPr>
          <w:p w14:paraId="65189781">
            <w:pPr>
              <w:snapToGrid w:val="0"/>
              <w:jc w:val="center"/>
              <w:rPr>
                <w:szCs w:val="21"/>
              </w:rPr>
            </w:pPr>
            <w:r>
              <w:rPr>
                <w:szCs w:val="21"/>
              </w:rPr>
              <w:t>检验方法</w:t>
            </w:r>
          </w:p>
        </w:tc>
      </w:tr>
      <w:tr w14:paraId="2682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8" w:type="dxa"/>
            <w:noWrap w:val="0"/>
            <w:vAlign w:val="center"/>
          </w:tcPr>
          <w:p w14:paraId="376E83EA">
            <w:pPr>
              <w:snapToGrid w:val="0"/>
              <w:jc w:val="center"/>
              <w:rPr>
                <w:szCs w:val="21"/>
              </w:rPr>
            </w:pPr>
            <w:r>
              <w:rPr>
                <w:szCs w:val="21"/>
              </w:rPr>
              <w:t>1</w:t>
            </w:r>
          </w:p>
        </w:tc>
        <w:tc>
          <w:tcPr>
            <w:tcW w:w="4198" w:type="dxa"/>
            <w:tcBorders>
              <w:right w:val="single" w:color="auto" w:sz="4" w:space="0"/>
            </w:tcBorders>
            <w:noWrap w:val="0"/>
            <w:vAlign w:val="center"/>
          </w:tcPr>
          <w:p w14:paraId="729C259E">
            <w:pPr>
              <w:snapToGrid w:val="0"/>
              <w:jc w:val="center"/>
              <w:rPr>
                <w:color w:val="000000"/>
                <w:szCs w:val="21"/>
              </w:rPr>
            </w:pPr>
            <w:r>
              <w:rPr>
                <w:color w:val="000000"/>
                <w:szCs w:val="21"/>
              </w:rPr>
              <w:t>不溶物</w:t>
            </w:r>
          </w:p>
        </w:tc>
        <w:tc>
          <w:tcPr>
            <w:tcW w:w="3818" w:type="dxa"/>
            <w:vMerge w:val="restart"/>
            <w:noWrap w:val="0"/>
            <w:vAlign w:val="center"/>
          </w:tcPr>
          <w:p w14:paraId="227DEB4E">
            <w:pPr>
              <w:snapToGrid w:val="0"/>
              <w:jc w:val="center"/>
              <w:rPr>
                <w:szCs w:val="21"/>
              </w:rPr>
            </w:pPr>
            <w:r>
              <w:rPr>
                <w:szCs w:val="21"/>
              </w:rPr>
              <w:fldChar w:fldCharType="begin"/>
            </w:r>
            <w:r>
              <w:rPr>
                <w:szCs w:val="21"/>
              </w:rPr>
              <w:instrText xml:space="preserve">HYPERLINK "javascript:__doPostBack('ctl00$ctl00$ContentPlaceHolder1$ContentPlaceHolder1$rptStandard$ctl00$lbtnDetail','')" \o "点击查看标准详细信息"</w:instrText>
            </w:r>
            <w:r>
              <w:rPr>
                <w:szCs w:val="21"/>
              </w:rPr>
              <w:fldChar w:fldCharType="separate"/>
            </w:r>
            <w:r>
              <w:t>GB/T 176</w:t>
            </w:r>
            <w:r>
              <w:rPr>
                <w:szCs w:val="21"/>
              </w:rPr>
              <w:fldChar w:fldCharType="end"/>
            </w:r>
            <w:r>
              <w:t>—2017</w:t>
            </w:r>
          </w:p>
        </w:tc>
      </w:tr>
      <w:tr w14:paraId="1FEB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158" w:type="dxa"/>
            <w:noWrap w:val="0"/>
            <w:vAlign w:val="center"/>
          </w:tcPr>
          <w:p w14:paraId="0025B6F7">
            <w:pPr>
              <w:snapToGrid w:val="0"/>
              <w:jc w:val="center"/>
              <w:rPr>
                <w:szCs w:val="21"/>
              </w:rPr>
            </w:pPr>
            <w:r>
              <w:rPr>
                <w:szCs w:val="21"/>
              </w:rPr>
              <w:t>2</w:t>
            </w:r>
          </w:p>
        </w:tc>
        <w:tc>
          <w:tcPr>
            <w:tcW w:w="4198" w:type="dxa"/>
            <w:tcBorders>
              <w:right w:val="single" w:color="auto" w:sz="4" w:space="0"/>
            </w:tcBorders>
            <w:noWrap w:val="0"/>
            <w:vAlign w:val="center"/>
          </w:tcPr>
          <w:p w14:paraId="25CD0BE8">
            <w:pPr>
              <w:snapToGrid w:val="0"/>
              <w:jc w:val="center"/>
              <w:rPr>
                <w:color w:val="000000"/>
                <w:szCs w:val="21"/>
              </w:rPr>
            </w:pPr>
            <w:r>
              <w:rPr>
                <w:color w:val="000000"/>
                <w:szCs w:val="21"/>
              </w:rPr>
              <w:t>烧失量</w:t>
            </w:r>
          </w:p>
        </w:tc>
        <w:tc>
          <w:tcPr>
            <w:tcW w:w="3818" w:type="dxa"/>
            <w:vMerge w:val="continue"/>
            <w:noWrap w:val="0"/>
            <w:vAlign w:val="center"/>
          </w:tcPr>
          <w:p w14:paraId="275D3783">
            <w:pPr>
              <w:snapToGrid w:val="0"/>
              <w:jc w:val="center"/>
              <w:rPr>
                <w:szCs w:val="21"/>
              </w:rPr>
            </w:pPr>
          </w:p>
        </w:tc>
      </w:tr>
      <w:tr w14:paraId="1714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158" w:type="dxa"/>
            <w:noWrap w:val="0"/>
            <w:vAlign w:val="center"/>
          </w:tcPr>
          <w:p w14:paraId="2C6F21D9">
            <w:pPr>
              <w:snapToGrid w:val="0"/>
              <w:jc w:val="center"/>
              <w:rPr>
                <w:szCs w:val="21"/>
              </w:rPr>
            </w:pPr>
            <w:r>
              <w:rPr>
                <w:szCs w:val="21"/>
              </w:rPr>
              <w:t>3</w:t>
            </w:r>
          </w:p>
        </w:tc>
        <w:tc>
          <w:tcPr>
            <w:tcW w:w="4198" w:type="dxa"/>
            <w:tcBorders>
              <w:right w:val="single" w:color="auto" w:sz="4" w:space="0"/>
            </w:tcBorders>
            <w:noWrap w:val="0"/>
            <w:vAlign w:val="center"/>
          </w:tcPr>
          <w:p w14:paraId="46B807F3">
            <w:pPr>
              <w:snapToGrid w:val="0"/>
              <w:jc w:val="center"/>
              <w:rPr>
                <w:color w:val="000000"/>
                <w:szCs w:val="21"/>
              </w:rPr>
            </w:pPr>
            <w:r>
              <w:rPr>
                <w:color w:val="000000"/>
                <w:szCs w:val="21"/>
              </w:rPr>
              <w:t>三氧化硫</w:t>
            </w:r>
          </w:p>
        </w:tc>
        <w:tc>
          <w:tcPr>
            <w:tcW w:w="3818" w:type="dxa"/>
            <w:vMerge w:val="continue"/>
            <w:noWrap w:val="0"/>
            <w:vAlign w:val="center"/>
          </w:tcPr>
          <w:p w14:paraId="0EAA1DD2">
            <w:pPr>
              <w:snapToGrid w:val="0"/>
              <w:jc w:val="center"/>
              <w:rPr>
                <w:szCs w:val="21"/>
              </w:rPr>
            </w:pPr>
          </w:p>
        </w:tc>
      </w:tr>
      <w:tr w14:paraId="2083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158" w:type="dxa"/>
            <w:noWrap w:val="0"/>
            <w:vAlign w:val="center"/>
          </w:tcPr>
          <w:p w14:paraId="5EF0ECC1">
            <w:pPr>
              <w:snapToGrid w:val="0"/>
              <w:jc w:val="center"/>
              <w:rPr>
                <w:szCs w:val="21"/>
              </w:rPr>
            </w:pPr>
            <w:r>
              <w:rPr>
                <w:szCs w:val="21"/>
              </w:rPr>
              <w:t>4</w:t>
            </w:r>
          </w:p>
        </w:tc>
        <w:tc>
          <w:tcPr>
            <w:tcW w:w="4198" w:type="dxa"/>
            <w:tcBorders>
              <w:bottom w:val="single" w:color="auto" w:sz="4" w:space="0"/>
              <w:right w:val="single" w:color="auto" w:sz="4" w:space="0"/>
            </w:tcBorders>
            <w:noWrap w:val="0"/>
            <w:vAlign w:val="center"/>
          </w:tcPr>
          <w:p w14:paraId="2BDBFB75">
            <w:pPr>
              <w:snapToGrid w:val="0"/>
              <w:jc w:val="center"/>
              <w:rPr>
                <w:color w:val="000000"/>
                <w:szCs w:val="21"/>
              </w:rPr>
            </w:pPr>
            <w:r>
              <w:rPr>
                <w:color w:val="000000"/>
                <w:szCs w:val="21"/>
              </w:rPr>
              <w:t>氧化镁</w:t>
            </w:r>
          </w:p>
        </w:tc>
        <w:tc>
          <w:tcPr>
            <w:tcW w:w="3818" w:type="dxa"/>
            <w:vMerge w:val="continue"/>
            <w:noWrap w:val="0"/>
            <w:vAlign w:val="center"/>
          </w:tcPr>
          <w:p w14:paraId="74B4CC00">
            <w:pPr>
              <w:snapToGrid w:val="0"/>
              <w:jc w:val="center"/>
              <w:rPr>
                <w:szCs w:val="21"/>
              </w:rPr>
            </w:pPr>
          </w:p>
        </w:tc>
      </w:tr>
      <w:tr w14:paraId="2751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158" w:type="dxa"/>
            <w:noWrap w:val="0"/>
            <w:vAlign w:val="center"/>
          </w:tcPr>
          <w:p w14:paraId="2058AD83">
            <w:pPr>
              <w:snapToGrid w:val="0"/>
              <w:jc w:val="center"/>
              <w:rPr>
                <w:szCs w:val="21"/>
              </w:rPr>
            </w:pPr>
            <w:r>
              <w:rPr>
                <w:szCs w:val="21"/>
              </w:rPr>
              <w:t>5</w:t>
            </w:r>
          </w:p>
        </w:tc>
        <w:tc>
          <w:tcPr>
            <w:tcW w:w="4198" w:type="dxa"/>
            <w:tcBorders>
              <w:bottom w:val="single" w:color="auto" w:sz="4" w:space="0"/>
              <w:right w:val="single" w:color="auto" w:sz="4" w:space="0"/>
            </w:tcBorders>
            <w:noWrap w:val="0"/>
            <w:vAlign w:val="center"/>
          </w:tcPr>
          <w:p w14:paraId="57866DC3">
            <w:pPr>
              <w:snapToGrid w:val="0"/>
              <w:jc w:val="center"/>
              <w:rPr>
                <w:color w:val="000000"/>
                <w:szCs w:val="21"/>
              </w:rPr>
            </w:pPr>
            <w:r>
              <w:rPr>
                <w:color w:val="000000"/>
                <w:szCs w:val="21"/>
              </w:rPr>
              <w:t>氯离子</w:t>
            </w:r>
          </w:p>
        </w:tc>
        <w:tc>
          <w:tcPr>
            <w:tcW w:w="3818" w:type="dxa"/>
            <w:vMerge w:val="continue"/>
            <w:noWrap w:val="0"/>
            <w:vAlign w:val="center"/>
          </w:tcPr>
          <w:p w14:paraId="7EB9161D">
            <w:pPr>
              <w:snapToGrid w:val="0"/>
              <w:jc w:val="center"/>
              <w:rPr>
                <w:szCs w:val="21"/>
              </w:rPr>
            </w:pPr>
          </w:p>
        </w:tc>
      </w:tr>
      <w:tr w14:paraId="6A70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58" w:type="dxa"/>
            <w:noWrap w:val="0"/>
            <w:vAlign w:val="center"/>
          </w:tcPr>
          <w:p w14:paraId="445897B9">
            <w:pPr>
              <w:snapToGrid w:val="0"/>
              <w:jc w:val="center"/>
              <w:rPr>
                <w:rFonts w:hint="eastAsia" w:eastAsia="宋体"/>
                <w:szCs w:val="21"/>
                <w:lang w:eastAsia="zh-CN"/>
              </w:rPr>
            </w:pPr>
            <w:r>
              <w:rPr>
                <w:rFonts w:hint="eastAsia"/>
                <w:szCs w:val="21"/>
                <w:lang w:val="en-US" w:eastAsia="zh-CN"/>
              </w:rPr>
              <w:t>6</w:t>
            </w:r>
          </w:p>
        </w:tc>
        <w:tc>
          <w:tcPr>
            <w:tcW w:w="4198" w:type="dxa"/>
            <w:tcBorders>
              <w:top w:val="single" w:color="auto" w:sz="4" w:space="0"/>
              <w:right w:val="single" w:color="auto" w:sz="4" w:space="0"/>
            </w:tcBorders>
            <w:noWrap w:val="0"/>
            <w:vAlign w:val="center"/>
          </w:tcPr>
          <w:p w14:paraId="49EE018D">
            <w:pPr>
              <w:snapToGrid w:val="0"/>
              <w:jc w:val="center"/>
              <w:rPr>
                <w:color w:val="000000"/>
                <w:szCs w:val="21"/>
              </w:rPr>
            </w:pPr>
            <w:r>
              <w:rPr>
                <w:color w:val="000000"/>
                <w:szCs w:val="21"/>
              </w:rPr>
              <w:t>凝结时间</w:t>
            </w:r>
          </w:p>
        </w:tc>
        <w:tc>
          <w:tcPr>
            <w:tcW w:w="3818" w:type="dxa"/>
            <w:tcBorders>
              <w:top w:val="single" w:color="auto" w:sz="4" w:space="0"/>
            </w:tcBorders>
            <w:noWrap w:val="0"/>
            <w:vAlign w:val="center"/>
          </w:tcPr>
          <w:p w14:paraId="0C8347A5">
            <w:pPr>
              <w:snapToGrid w:val="0"/>
              <w:jc w:val="center"/>
              <w:rPr>
                <w:rFonts w:hint="default" w:eastAsia="宋体"/>
                <w:szCs w:val="21"/>
                <w:lang w:val="en-US" w:eastAsia="zh-CN"/>
              </w:rPr>
            </w:pPr>
            <w:r>
              <w:fldChar w:fldCharType="begin"/>
            </w:r>
            <w:r>
              <w:instrText xml:space="preserve">HYPERLINK "javascript:__doPostBack('ctl00$ctl00$ContentPlaceHolder1$ContentPlaceHolder1$rptStandard$ctl00$lbtnDetail','')" \o "点击查看标准详细信息"</w:instrText>
            </w:r>
            <w:r>
              <w:fldChar w:fldCharType="separate"/>
            </w:r>
            <w:r>
              <w:t>GB/T 1346</w:t>
            </w:r>
            <w:r>
              <w:fldChar w:fldCharType="end"/>
            </w:r>
          </w:p>
        </w:tc>
      </w:tr>
      <w:tr w14:paraId="11DA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58" w:type="dxa"/>
            <w:noWrap w:val="0"/>
            <w:vAlign w:val="center"/>
          </w:tcPr>
          <w:p w14:paraId="64CE5BB5">
            <w:pPr>
              <w:snapToGrid w:val="0"/>
              <w:jc w:val="center"/>
              <w:rPr>
                <w:rFonts w:hint="eastAsia" w:eastAsia="宋体"/>
                <w:szCs w:val="21"/>
                <w:lang w:eastAsia="zh-CN"/>
              </w:rPr>
            </w:pPr>
            <w:r>
              <w:rPr>
                <w:rFonts w:hint="eastAsia"/>
                <w:szCs w:val="21"/>
                <w:lang w:val="en-US" w:eastAsia="zh-CN"/>
              </w:rPr>
              <w:t>7</w:t>
            </w:r>
          </w:p>
        </w:tc>
        <w:tc>
          <w:tcPr>
            <w:tcW w:w="4198" w:type="dxa"/>
            <w:tcBorders>
              <w:right w:val="single" w:color="auto" w:sz="4" w:space="0"/>
            </w:tcBorders>
            <w:noWrap w:val="0"/>
            <w:vAlign w:val="center"/>
          </w:tcPr>
          <w:p w14:paraId="72A51A4A">
            <w:pPr>
              <w:snapToGrid w:val="0"/>
              <w:jc w:val="center"/>
              <w:rPr>
                <w:color w:val="000000"/>
                <w:szCs w:val="21"/>
              </w:rPr>
            </w:pPr>
            <w:r>
              <w:rPr>
                <w:color w:val="000000"/>
                <w:szCs w:val="21"/>
              </w:rPr>
              <w:t>安定性</w:t>
            </w:r>
          </w:p>
        </w:tc>
        <w:tc>
          <w:tcPr>
            <w:tcW w:w="3818" w:type="dxa"/>
            <w:noWrap w:val="0"/>
            <w:vAlign w:val="center"/>
          </w:tcPr>
          <w:p w14:paraId="02E065D4">
            <w:pPr>
              <w:snapToGrid w:val="0"/>
              <w:jc w:val="center"/>
              <w:rPr>
                <w:szCs w:val="21"/>
              </w:rPr>
            </w:pPr>
            <w:r>
              <w:fldChar w:fldCharType="begin"/>
            </w:r>
            <w:r>
              <w:instrText xml:space="preserve">HYPERLINK "javascript:__doPostBack('ctl00$ctl00$ContentPlaceHolder1$ContentPlaceHolder1$rptStandard$ctl00$lbtnDetail','')" \o "点击查看标准详细信息"</w:instrText>
            </w:r>
            <w:r>
              <w:fldChar w:fldCharType="separate"/>
            </w:r>
            <w:r>
              <w:t>GB/T 1346</w:t>
            </w:r>
            <w:r>
              <w:fldChar w:fldCharType="end"/>
            </w:r>
            <w:bookmarkStart w:id="0" w:name="_GoBack"/>
            <w:bookmarkEnd w:id="0"/>
          </w:p>
          <w:p w14:paraId="5782AEC0">
            <w:pPr>
              <w:snapToGrid w:val="0"/>
              <w:jc w:val="center"/>
              <w:rPr>
                <w:szCs w:val="21"/>
              </w:rPr>
            </w:pPr>
            <w:r>
              <w:fldChar w:fldCharType="begin"/>
            </w:r>
            <w:r>
              <w:instrText xml:space="preserve">HYPERLINK "javascript:__doPostBack('ctl00$ctl00$ContentPlaceHolder1$ContentPlaceHolder1$rptStandard$ctl00$lbtnDetail','')" \o "点击查看标准详细信息"</w:instrText>
            </w:r>
            <w:r>
              <w:fldChar w:fldCharType="separate"/>
            </w:r>
            <w:r>
              <w:t>GB/T 750</w:t>
            </w:r>
            <w:r>
              <w:fldChar w:fldCharType="end"/>
            </w:r>
          </w:p>
        </w:tc>
      </w:tr>
      <w:tr w14:paraId="2E0A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58" w:type="dxa"/>
            <w:noWrap w:val="0"/>
            <w:vAlign w:val="center"/>
          </w:tcPr>
          <w:p w14:paraId="69CB17E5">
            <w:pPr>
              <w:snapToGrid w:val="0"/>
              <w:jc w:val="center"/>
              <w:rPr>
                <w:rFonts w:hint="default"/>
                <w:szCs w:val="21"/>
                <w:lang w:val="en-US" w:eastAsia="zh-CN"/>
              </w:rPr>
            </w:pPr>
            <w:r>
              <w:rPr>
                <w:rFonts w:hint="eastAsia"/>
                <w:szCs w:val="21"/>
                <w:lang w:val="en-US" w:eastAsia="zh-CN"/>
              </w:rPr>
              <w:t>8</w:t>
            </w:r>
          </w:p>
        </w:tc>
        <w:tc>
          <w:tcPr>
            <w:tcW w:w="4198" w:type="dxa"/>
            <w:tcBorders>
              <w:right w:val="single" w:color="auto" w:sz="4" w:space="0"/>
            </w:tcBorders>
            <w:noWrap w:val="0"/>
            <w:vAlign w:val="center"/>
          </w:tcPr>
          <w:p w14:paraId="773952D0">
            <w:pPr>
              <w:snapToGrid w:val="0"/>
              <w:jc w:val="center"/>
              <w:rPr>
                <w:color w:val="000000"/>
                <w:szCs w:val="21"/>
              </w:rPr>
            </w:pPr>
            <w:r>
              <w:rPr>
                <w:rFonts w:hint="eastAsia"/>
                <w:color w:val="000000"/>
                <w:szCs w:val="21"/>
              </w:rPr>
              <w:t>水泥中水溶性铬(Ⅵ)</w:t>
            </w:r>
          </w:p>
        </w:tc>
        <w:tc>
          <w:tcPr>
            <w:tcW w:w="3818" w:type="dxa"/>
            <w:noWrap w:val="0"/>
            <w:vAlign w:val="center"/>
          </w:tcPr>
          <w:p w14:paraId="5F10A8B1">
            <w:pPr>
              <w:snapToGrid w:val="0"/>
              <w:jc w:val="center"/>
              <w:rPr>
                <w:rFonts w:hint="default" w:eastAsia="宋体"/>
                <w:lang w:val="en-US" w:eastAsia="zh-CN"/>
              </w:rPr>
            </w:pPr>
            <w:r>
              <w:rPr>
                <w:color w:val="000000"/>
                <w:szCs w:val="21"/>
              </w:rPr>
              <w:t xml:space="preserve">GB </w:t>
            </w:r>
            <w:r>
              <w:rPr>
                <w:rFonts w:hint="eastAsia"/>
                <w:color w:val="000000"/>
                <w:szCs w:val="21"/>
                <w:lang w:val="en-US" w:eastAsia="zh-CN"/>
              </w:rPr>
              <w:t>31893</w:t>
            </w:r>
            <w:r>
              <w:t>—</w:t>
            </w:r>
            <w:r>
              <w:rPr>
                <w:color w:val="000000"/>
                <w:szCs w:val="21"/>
              </w:rPr>
              <w:t>20</w:t>
            </w:r>
            <w:r>
              <w:rPr>
                <w:rFonts w:hint="eastAsia"/>
                <w:color w:val="000000"/>
                <w:szCs w:val="21"/>
                <w:lang w:val="en-US" w:eastAsia="zh-CN"/>
              </w:rPr>
              <w:t>15</w:t>
            </w:r>
          </w:p>
        </w:tc>
      </w:tr>
      <w:tr w14:paraId="3072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noWrap w:val="0"/>
            <w:vAlign w:val="center"/>
          </w:tcPr>
          <w:p w14:paraId="188F475E">
            <w:pPr>
              <w:snapToGrid w:val="0"/>
              <w:jc w:val="center"/>
              <w:rPr>
                <w:rFonts w:hint="eastAsia" w:eastAsia="宋体"/>
                <w:szCs w:val="21"/>
                <w:lang w:eastAsia="zh-CN"/>
              </w:rPr>
            </w:pPr>
            <w:r>
              <w:rPr>
                <w:rFonts w:hint="eastAsia"/>
                <w:szCs w:val="21"/>
                <w:lang w:val="en-US" w:eastAsia="zh-CN"/>
              </w:rPr>
              <w:t>9</w:t>
            </w:r>
          </w:p>
        </w:tc>
        <w:tc>
          <w:tcPr>
            <w:tcW w:w="4198" w:type="dxa"/>
            <w:tcBorders>
              <w:right w:val="single" w:color="auto" w:sz="4" w:space="0"/>
            </w:tcBorders>
            <w:noWrap w:val="0"/>
            <w:vAlign w:val="center"/>
          </w:tcPr>
          <w:p w14:paraId="48FB153B">
            <w:pPr>
              <w:snapToGrid w:val="0"/>
              <w:jc w:val="center"/>
              <w:rPr>
                <w:color w:val="000000"/>
                <w:szCs w:val="21"/>
              </w:rPr>
            </w:pPr>
            <w:r>
              <w:rPr>
                <w:color w:val="000000"/>
                <w:szCs w:val="21"/>
              </w:rPr>
              <w:t>强度</w:t>
            </w:r>
          </w:p>
        </w:tc>
        <w:tc>
          <w:tcPr>
            <w:tcW w:w="3818" w:type="dxa"/>
            <w:noWrap w:val="0"/>
            <w:vAlign w:val="center"/>
          </w:tcPr>
          <w:p w14:paraId="08C4F15A">
            <w:pPr>
              <w:snapToGrid w:val="0"/>
              <w:jc w:val="center"/>
              <w:rPr>
                <w:color w:val="000000"/>
                <w:szCs w:val="21"/>
              </w:rPr>
            </w:pPr>
            <w:r>
              <w:rPr>
                <w:color w:val="000000"/>
                <w:szCs w:val="21"/>
              </w:rPr>
              <w:t>GB 175</w:t>
            </w:r>
            <w:r>
              <w:t>—</w:t>
            </w:r>
            <w:r>
              <w:rPr>
                <w:color w:val="000000"/>
                <w:szCs w:val="21"/>
              </w:rPr>
              <w:t>2023</w:t>
            </w:r>
          </w:p>
          <w:p w14:paraId="56891E85">
            <w:pPr>
              <w:snapToGrid w:val="0"/>
              <w:jc w:val="center"/>
              <w:rPr>
                <w:color w:val="000000"/>
                <w:szCs w:val="21"/>
              </w:rPr>
            </w:pPr>
            <w:r>
              <w:rPr>
                <w:color w:val="000000"/>
                <w:szCs w:val="21"/>
              </w:rPr>
              <w:t>GB/T 17671</w:t>
            </w:r>
            <w:r>
              <w:t>—</w:t>
            </w:r>
            <w:r>
              <w:rPr>
                <w:color w:val="000000"/>
                <w:szCs w:val="21"/>
              </w:rPr>
              <w:t>2021</w:t>
            </w:r>
          </w:p>
          <w:p w14:paraId="00C19F72">
            <w:pPr>
              <w:snapToGrid w:val="0"/>
              <w:jc w:val="center"/>
            </w:pPr>
            <w:r>
              <w:rPr>
                <w:color w:val="000000"/>
                <w:szCs w:val="21"/>
              </w:rPr>
              <w:t>GB/T 2419</w:t>
            </w:r>
            <w:r>
              <w:t>—</w:t>
            </w:r>
            <w:r>
              <w:rPr>
                <w:color w:val="000000"/>
                <w:szCs w:val="21"/>
              </w:rPr>
              <w:t>2005</w:t>
            </w:r>
          </w:p>
        </w:tc>
      </w:tr>
      <w:tr w14:paraId="2DDF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noWrap w:val="0"/>
            <w:vAlign w:val="center"/>
          </w:tcPr>
          <w:p w14:paraId="62C94392">
            <w:pPr>
              <w:snapToGrid w:val="0"/>
              <w:jc w:val="center"/>
              <w:rPr>
                <w:rFonts w:hint="default" w:eastAsia="宋体"/>
                <w:szCs w:val="21"/>
                <w:lang w:val="en-US" w:eastAsia="zh-CN"/>
              </w:rPr>
            </w:pPr>
            <w:r>
              <w:rPr>
                <w:rFonts w:hint="eastAsia"/>
                <w:szCs w:val="21"/>
                <w:lang w:val="en-US" w:eastAsia="zh-CN"/>
              </w:rPr>
              <w:t>10</w:t>
            </w:r>
          </w:p>
        </w:tc>
        <w:tc>
          <w:tcPr>
            <w:tcW w:w="4198" w:type="dxa"/>
            <w:noWrap w:val="0"/>
            <w:vAlign w:val="center"/>
          </w:tcPr>
          <w:p w14:paraId="63E9C272">
            <w:pPr>
              <w:snapToGrid w:val="0"/>
              <w:jc w:val="center"/>
              <w:rPr>
                <w:color w:val="000000"/>
                <w:szCs w:val="21"/>
              </w:rPr>
            </w:pPr>
            <w:r>
              <w:rPr>
                <w:color w:val="000000"/>
                <w:szCs w:val="21"/>
              </w:rPr>
              <w:t>细度</w:t>
            </w:r>
          </w:p>
        </w:tc>
        <w:tc>
          <w:tcPr>
            <w:tcW w:w="3818" w:type="dxa"/>
            <w:noWrap w:val="0"/>
            <w:vAlign w:val="center"/>
          </w:tcPr>
          <w:p w14:paraId="1C2BA43A">
            <w:pPr>
              <w:snapToGrid w:val="0"/>
              <w:jc w:val="center"/>
            </w:pPr>
            <w:r>
              <w:t>GB 175—2023</w:t>
            </w:r>
          </w:p>
          <w:p w14:paraId="04A6EC8A">
            <w:pPr>
              <w:snapToGrid w:val="0"/>
              <w:jc w:val="center"/>
              <w:rPr>
                <w:color w:val="000000"/>
                <w:szCs w:val="21"/>
              </w:rPr>
            </w:pPr>
            <w:r>
              <w:fldChar w:fldCharType="begin"/>
            </w:r>
            <w:r>
              <w:instrText xml:space="preserve">HYPERLINK "javascript:__doPostBack('ctl00$ctl00$ContentPlaceHolder1$ContentPlaceHolder1$rptStandard$ctl00$lbtnDetail','')" \o "点击查看标准详细信息"</w:instrText>
            </w:r>
            <w:r>
              <w:fldChar w:fldCharType="separate"/>
            </w:r>
            <w:r>
              <w:t>GB/T 8074</w:t>
            </w:r>
            <w:r>
              <w:fldChar w:fldCharType="end"/>
            </w:r>
            <w:r>
              <w:t>—2008</w:t>
            </w:r>
          </w:p>
          <w:p w14:paraId="6D9EAF40">
            <w:pPr>
              <w:snapToGrid w:val="0"/>
              <w:jc w:val="center"/>
              <w:rPr>
                <w:color w:val="000000"/>
                <w:szCs w:val="21"/>
              </w:rPr>
            </w:pPr>
            <w:r>
              <w:rPr>
                <w:color w:val="000000"/>
              </w:rPr>
              <w:fldChar w:fldCharType="begin"/>
            </w:r>
            <w:r>
              <w:rPr>
                <w:color w:val="000000"/>
              </w:rPr>
              <w:instrText xml:space="preserve">HYPERLINK "javascript:__doPostBack('ctl00$ctl00$ContentPlaceHolder1$ContentPlaceHolder1$rptStandard$ctl00$lbtnDetail','')" \o "点击查看标准详细信息"</w:instrText>
            </w:r>
            <w:r>
              <w:rPr>
                <w:color w:val="000000"/>
              </w:rPr>
              <w:fldChar w:fldCharType="separate"/>
            </w:r>
            <w:r>
              <w:rPr>
                <w:color w:val="000000"/>
              </w:rPr>
              <w:t>GB/T 1345</w:t>
            </w:r>
            <w:r>
              <w:rPr>
                <w:color w:val="000000"/>
              </w:rPr>
              <w:fldChar w:fldCharType="end"/>
            </w:r>
            <w:r>
              <w:rPr>
                <w:color w:val="000000"/>
              </w:rPr>
              <w:t>—2005</w:t>
            </w:r>
          </w:p>
        </w:tc>
      </w:tr>
      <w:tr w14:paraId="6360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8" w:type="dxa"/>
            <w:noWrap w:val="0"/>
            <w:vAlign w:val="center"/>
          </w:tcPr>
          <w:p w14:paraId="24485CFA">
            <w:pPr>
              <w:snapToGrid w:val="0"/>
              <w:jc w:val="center"/>
              <w:rPr>
                <w:rFonts w:hint="default"/>
                <w:szCs w:val="21"/>
                <w:lang w:val="en-US" w:eastAsia="zh-CN"/>
              </w:rPr>
            </w:pPr>
            <w:r>
              <w:rPr>
                <w:rFonts w:hint="eastAsia"/>
                <w:szCs w:val="21"/>
                <w:lang w:val="en-US" w:eastAsia="zh-CN"/>
              </w:rPr>
              <w:t>11</w:t>
            </w:r>
          </w:p>
        </w:tc>
        <w:tc>
          <w:tcPr>
            <w:tcW w:w="4198" w:type="dxa"/>
            <w:noWrap w:val="0"/>
            <w:vAlign w:val="center"/>
          </w:tcPr>
          <w:p w14:paraId="7E39CA94">
            <w:pPr>
              <w:snapToGrid w:val="0"/>
              <w:jc w:val="center"/>
              <w:rPr>
                <w:color w:val="000000"/>
                <w:szCs w:val="21"/>
              </w:rPr>
            </w:pPr>
            <w:r>
              <w:rPr>
                <w:rFonts w:hint="eastAsia"/>
                <w:color w:val="000000"/>
                <w:szCs w:val="21"/>
              </w:rPr>
              <w:t>放射性核素限量</w:t>
            </w:r>
          </w:p>
        </w:tc>
        <w:tc>
          <w:tcPr>
            <w:tcW w:w="3818" w:type="dxa"/>
            <w:noWrap w:val="0"/>
            <w:vAlign w:val="center"/>
          </w:tcPr>
          <w:p w14:paraId="2BED575D">
            <w:pPr>
              <w:snapToGrid w:val="0"/>
              <w:jc w:val="center"/>
              <w:rPr>
                <w:color w:val="000000"/>
              </w:rPr>
            </w:pPr>
            <w:r>
              <w:rPr>
                <w:color w:val="000000"/>
                <w:szCs w:val="21"/>
              </w:rPr>
              <w:t xml:space="preserve">GB </w:t>
            </w:r>
            <w:r>
              <w:rPr>
                <w:rFonts w:hint="eastAsia"/>
                <w:color w:val="000000"/>
                <w:szCs w:val="21"/>
                <w:lang w:val="en-US" w:eastAsia="zh-CN"/>
              </w:rPr>
              <w:t>6566</w:t>
            </w:r>
            <w:r>
              <w:t>—</w:t>
            </w:r>
            <w:r>
              <w:rPr>
                <w:color w:val="000000"/>
                <w:szCs w:val="21"/>
              </w:rPr>
              <w:t>20</w:t>
            </w:r>
            <w:r>
              <w:rPr>
                <w:rFonts w:hint="eastAsia"/>
                <w:color w:val="000000"/>
                <w:szCs w:val="21"/>
                <w:lang w:val="en-US" w:eastAsia="zh-CN"/>
              </w:rPr>
              <w:t>10</w:t>
            </w:r>
          </w:p>
        </w:tc>
      </w:tr>
    </w:tbl>
    <w:p w14:paraId="298D8DAA">
      <w:pPr>
        <w:snapToGrid w:val="0"/>
        <w:spacing w:line="360" w:lineRule="auto"/>
        <w:ind w:firstLine="420" w:firstLineChars="200"/>
        <w:rPr>
          <w:rFonts w:ascii="宋体" w:hAnsi="宋体"/>
          <w:color w:val="000000"/>
          <w:szCs w:val="21"/>
        </w:rPr>
      </w:pPr>
      <w:r>
        <w:rPr>
          <w:rFonts w:hint="eastAsia" w:ascii="宋体" w:hAnsi="宋体"/>
          <w:color w:val="000000"/>
          <w:szCs w:val="21"/>
        </w:rPr>
        <w:t>执行企业标准、团体标准、地方标准的产品，检验项目参照上述内容执行。</w:t>
      </w:r>
    </w:p>
    <w:p w14:paraId="0FE79CE3">
      <w:pPr>
        <w:snapToGrid w:val="0"/>
        <w:spacing w:line="360" w:lineRule="auto"/>
        <w:ind w:firstLine="420" w:firstLineChars="200"/>
        <w:rPr>
          <w:rFonts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45AFF3CD">
      <w:pPr>
        <w:snapToGrid w:val="0"/>
        <w:spacing w:line="360" w:lineRule="auto"/>
        <w:ind w:firstLine="420" w:firstLineChars="200"/>
        <w:rPr>
          <w:rFonts w:ascii="宋体" w:hAnsi="宋体"/>
          <w:color w:val="000000"/>
          <w:szCs w:val="21"/>
        </w:rPr>
      </w:pPr>
    </w:p>
    <w:p w14:paraId="77E6597D">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14:paraId="1264AB6F">
      <w:pPr>
        <w:snapToGrid w:val="0"/>
        <w:spacing w:line="360" w:lineRule="auto"/>
        <w:rPr>
          <w:rFonts w:ascii="宋体" w:hAnsi="宋体"/>
          <w:b/>
          <w:color w:val="000000"/>
          <w:szCs w:val="21"/>
        </w:rPr>
      </w:pPr>
      <w:r>
        <w:rPr>
          <w:rFonts w:hint="eastAsia" w:ascii="宋体" w:hAnsi="宋体"/>
          <w:b/>
          <w:color w:val="000000"/>
          <w:szCs w:val="21"/>
        </w:rPr>
        <w:t>3.1依据标准</w:t>
      </w:r>
    </w:p>
    <w:p w14:paraId="0BAD2CA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olor w:val="000000"/>
          <w:szCs w:val="21"/>
        </w:rPr>
      </w:pPr>
      <w:r>
        <w:rPr>
          <w:rFonts w:ascii="宋体" w:hAnsi="宋体"/>
          <w:color w:val="000000"/>
          <w:szCs w:val="21"/>
        </w:rPr>
        <w:t>GB</w:t>
      </w:r>
      <w:r>
        <w:rPr>
          <w:rFonts w:hint="eastAsia" w:ascii="宋体" w:hAnsi="宋体"/>
          <w:color w:val="000000"/>
          <w:szCs w:val="21"/>
        </w:rPr>
        <w:t xml:space="preserve"> 175 -20</w:t>
      </w:r>
      <w:r>
        <w:rPr>
          <w:rFonts w:hint="eastAsia" w:ascii="宋体" w:hAnsi="宋体"/>
          <w:color w:val="000000"/>
          <w:szCs w:val="21"/>
          <w:lang w:val="en-US" w:eastAsia="zh-CN"/>
        </w:rPr>
        <w:t>23</w:t>
      </w:r>
      <w:r>
        <w:rPr>
          <w:rFonts w:ascii="宋体" w:hAnsi="宋体"/>
          <w:color w:val="000000"/>
          <w:szCs w:val="21"/>
        </w:rPr>
        <w:t>通用硅酸盐水泥</w:t>
      </w:r>
    </w:p>
    <w:p w14:paraId="2AEF4FD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olor w:val="000000"/>
          <w:szCs w:val="21"/>
        </w:rPr>
      </w:pPr>
      <w:r>
        <w:rPr>
          <w:rFonts w:ascii="宋体" w:hAnsi="宋体"/>
          <w:color w:val="000000"/>
          <w:szCs w:val="21"/>
        </w:rPr>
        <w:t>现行有效的企业标准、团体标准、地方标准及产品明示质量要求</w:t>
      </w:r>
    </w:p>
    <w:p w14:paraId="07E8B521">
      <w:pPr>
        <w:snapToGrid w:val="0"/>
        <w:spacing w:line="360" w:lineRule="auto"/>
        <w:rPr>
          <w:rFonts w:ascii="宋体" w:hAnsi="宋体"/>
          <w:b/>
          <w:color w:val="000000"/>
          <w:szCs w:val="21"/>
        </w:rPr>
      </w:pPr>
      <w:r>
        <w:rPr>
          <w:rFonts w:hint="eastAsia" w:ascii="宋体" w:hAnsi="宋体"/>
          <w:b/>
          <w:color w:val="000000"/>
          <w:szCs w:val="21"/>
        </w:rPr>
        <w:t>3.2判定原则</w:t>
      </w:r>
    </w:p>
    <w:p w14:paraId="5966391F">
      <w:pPr>
        <w:snapToGrid w:val="0"/>
        <w:spacing w:line="44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7A493DC0">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35A36386">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20D786D3">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14949319">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63569330">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3A8C69FC">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2025015</wp:posOffset>
                </wp:positionH>
                <wp:positionV relativeFrom="paragraph">
                  <wp:posOffset>131445</wp:posOffset>
                </wp:positionV>
                <wp:extent cx="1800225" cy="0"/>
                <wp:effectExtent l="0" t="7620" r="0" b="8255"/>
                <wp:wrapNone/>
                <wp:docPr id="2" name="自选图形 4"/>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59.45pt;margin-top:10.35pt;height:0pt;width:141.75pt;z-index:251661312;mso-width-relative:page;mso-height-relative:page;" filled="f" stroked="t" coordsize="21600,21600" o:gfxdata="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GxrM2AAAAAkBAAAPAAAAAAAAAAEAIAAAACIAAABkcnMvZG93bnJldi54bWxQSwEC&#10;FAAUAAAACACHTuJAtdd00vQBAADkAwAADgAAAAAAAAABACAAAAAnAQAAZHJzL2Uyb0RvYy54bWxQ&#10;SwUGAAAAAAYABgBZAQAAjQUAAAAA&#10;">
                <v:fill on="f" focussize="0,0"/>
                <v:stroke weight="1.25pt" color="#000000" joinstyle="round"/>
                <v:imagedata o:title=""/>
                <o:lock v:ext="edit" aspectratio="f"/>
              </v:shape>
            </w:pict>
          </mc:Fallback>
        </mc:AlternateContent>
      </w:r>
    </w:p>
    <w:p w14:paraId="04AC9A42">
      <w:pPr>
        <w:snapToGrid w:val="0"/>
        <w:spacing w:line="360" w:lineRule="auto"/>
        <w:ind w:firstLine="417" w:firstLineChars="199"/>
        <w:rPr>
          <w:rFonts w:ascii="宋体" w:hAnsi="宋体"/>
          <w:color w:val="000000"/>
          <w:szCs w:val="21"/>
        </w:rPr>
      </w:pPr>
      <w:r>
        <w:rPr>
          <w:rFonts w:hint="eastAsia" w:ascii="宋体" w:hAnsi="宋体"/>
          <w:color w:val="000000"/>
          <w:szCs w:val="21"/>
          <w:lang w:val="en-US" w:eastAsia="zh-CN"/>
        </w:rPr>
        <w:t xml:space="preserve">     </w:t>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p>
    <w:p w14:paraId="24CE139B">
      <w:pPr>
        <w:snapToGrid w:val="0"/>
        <w:spacing w:line="360" w:lineRule="auto"/>
        <w:ind w:firstLine="417" w:firstLineChars="199"/>
        <w:rPr>
          <w:rFonts w:ascii="宋体" w:hAnsi="宋体"/>
          <w:color w:val="FF0000"/>
          <w:szCs w:val="21"/>
        </w:rPr>
      </w:pPr>
    </w:p>
    <w:sectPr>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D5006D-4B0F-421E-A53B-6EEA5935B9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0" w:csb1="00000000"/>
  </w:font>
  <w:font w:name="FzBookMaker11DlFont110536871175">
    <w:altName w:val="Times New Roman"/>
    <w:panose1 w:val="00000000000000000000"/>
    <w:charset w:val="00"/>
    <w:family w:val="roman"/>
    <w:pitch w:val="default"/>
    <w:sig w:usb0="00000000" w:usb1="00000000" w:usb2="00000000" w:usb3="00000000" w:csb0="00000000" w:csb1="00000000"/>
  </w:font>
  <w:font w:name="FzBookMaker2DlFont20536871173">
    <w:altName w:val="Times New Roman"/>
    <w:panose1 w:val="00000000000000000000"/>
    <w:charset w:val="00"/>
    <w:family w:val="roman"/>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embedRegular r:id="rId2" w:fontKey="{F57912D9-872F-4A88-BDBD-96B43DE72E94}"/>
  </w:font>
  <w:font w:name="方正小标宋简体">
    <w:panose1 w:val="02010600010101010101"/>
    <w:charset w:val="86"/>
    <w:family w:val="auto"/>
    <w:pitch w:val="default"/>
    <w:sig w:usb0="00000001" w:usb1="080E0000" w:usb2="00000000" w:usb3="00000000" w:csb0="00040000" w:csb1="00000000"/>
    <w:embedRegular r:id="rId3" w:fontKey="{A0003EBF-B68D-4289-B5E2-9F0B2E9D0449}"/>
  </w:font>
  <w:font w:name="仿宋">
    <w:panose1 w:val="02010609060101010101"/>
    <w:charset w:val="86"/>
    <w:family w:val="modern"/>
    <w:pitch w:val="default"/>
    <w:sig w:usb0="800002BF" w:usb1="38CF7CFA" w:usb2="00000016" w:usb3="00000000" w:csb0="00040001" w:csb1="00000000"/>
    <w:embedRegular r:id="rId4" w:fontKey="{08517F85-D8A2-40FB-A333-8C352F04E933}"/>
  </w:font>
  <w:font w:name="方正仿宋简体">
    <w:altName w:val="微软雅黑"/>
    <w:panose1 w:val="02010601030101010101"/>
    <w:charset w:val="86"/>
    <w:family w:val="auto"/>
    <w:pitch w:val="default"/>
    <w:sig w:usb0="00000000" w:usb1="00000000" w:usb2="00000000" w:usb3="00000000" w:csb0="00040000" w:csb1="00000000"/>
    <w:embedRegular r:id="rId5" w:fontKey="{4AE62FF9-89A2-436C-9C89-2707F0621B2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7569"/>
    </w:sdtPr>
    <w:sdtContent>
      <w:p w14:paraId="14B7518E">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14:paraId="6C68EE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F1062">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08C32AE0">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7E7E9">
    <w:pPr>
      <w:pStyle w:val="6"/>
    </w:pPr>
  </w:p>
  <w:p w14:paraId="73EAF0C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97744">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8DE5B">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MTIwNzViNzcwZDlhYzI1Mjc2ZGYxZGMzYTcwN2MifQ=="/>
  </w:docVars>
  <w:rsids>
    <w:rsidRoot w:val="00172A27"/>
    <w:rsid w:val="00000B18"/>
    <w:rsid w:val="00006402"/>
    <w:rsid w:val="00023C4E"/>
    <w:rsid w:val="000276A9"/>
    <w:rsid w:val="000304C5"/>
    <w:rsid w:val="0003193A"/>
    <w:rsid w:val="00035064"/>
    <w:rsid w:val="00037D8D"/>
    <w:rsid w:val="0004011D"/>
    <w:rsid w:val="00051A44"/>
    <w:rsid w:val="00060ECF"/>
    <w:rsid w:val="000623A1"/>
    <w:rsid w:val="000672B7"/>
    <w:rsid w:val="00071001"/>
    <w:rsid w:val="00081CBD"/>
    <w:rsid w:val="000841A6"/>
    <w:rsid w:val="0009399B"/>
    <w:rsid w:val="000976DE"/>
    <w:rsid w:val="000D0007"/>
    <w:rsid w:val="000D3759"/>
    <w:rsid w:val="000D45B9"/>
    <w:rsid w:val="000E24C4"/>
    <w:rsid w:val="000F64F9"/>
    <w:rsid w:val="000F6E44"/>
    <w:rsid w:val="000F7E56"/>
    <w:rsid w:val="001035C2"/>
    <w:rsid w:val="00106D82"/>
    <w:rsid w:val="00115BC8"/>
    <w:rsid w:val="00115FA1"/>
    <w:rsid w:val="00122CB7"/>
    <w:rsid w:val="00131D65"/>
    <w:rsid w:val="001427FD"/>
    <w:rsid w:val="001437C2"/>
    <w:rsid w:val="00144CD3"/>
    <w:rsid w:val="00155096"/>
    <w:rsid w:val="0015743B"/>
    <w:rsid w:val="001715A9"/>
    <w:rsid w:val="00172A27"/>
    <w:rsid w:val="00175489"/>
    <w:rsid w:val="001754B1"/>
    <w:rsid w:val="001809DD"/>
    <w:rsid w:val="001845E3"/>
    <w:rsid w:val="0018638C"/>
    <w:rsid w:val="001A65B0"/>
    <w:rsid w:val="001C1F87"/>
    <w:rsid w:val="001C4F34"/>
    <w:rsid w:val="001D1FBC"/>
    <w:rsid w:val="001D5C67"/>
    <w:rsid w:val="001D6824"/>
    <w:rsid w:val="001E4729"/>
    <w:rsid w:val="001E4F8B"/>
    <w:rsid w:val="001F2D1F"/>
    <w:rsid w:val="00210539"/>
    <w:rsid w:val="00223317"/>
    <w:rsid w:val="00225BB4"/>
    <w:rsid w:val="00227E0E"/>
    <w:rsid w:val="002448A3"/>
    <w:rsid w:val="00253624"/>
    <w:rsid w:val="002547A0"/>
    <w:rsid w:val="002710B5"/>
    <w:rsid w:val="00274E3E"/>
    <w:rsid w:val="002825C2"/>
    <w:rsid w:val="00287B95"/>
    <w:rsid w:val="00293B52"/>
    <w:rsid w:val="002A02DD"/>
    <w:rsid w:val="002A7719"/>
    <w:rsid w:val="002A7D1C"/>
    <w:rsid w:val="002B50E7"/>
    <w:rsid w:val="002D17A5"/>
    <w:rsid w:val="002D48CE"/>
    <w:rsid w:val="002D7F8A"/>
    <w:rsid w:val="002E0D1D"/>
    <w:rsid w:val="002E1EAC"/>
    <w:rsid w:val="002E369A"/>
    <w:rsid w:val="002E68A8"/>
    <w:rsid w:val="002E772A"/>
    <w:rsid w:val="002F49EA"/>
    <w:rsid w:val="00305B0D"/>
    <w:rsid w:val="00306A87"/>
    <w:rsid w:val="00311DD2"/>
    <w:rsid w:val="003203A3"/>
    <w:rsid w:val="003222A6"/>
    <w:rsid w:val="00350558"/>
    <w:rsid w:val="003659F7"/>
    <w:rsid w:val="00370830"/>
    <w:rsid w:val="00371567"/>
    <w:rsid w:val="00375E4A"/>
    <w:rsid w:val="00376283"/>
    <w:rsid w:val="00385C6B"/>
    <w:rsid w:val="0039208F"/>
    <w:rsid w:val="00392A15"/>
    <w:rsid w:val="003A1E75"/>
    <w:rsid w:val="003B226D"/>
    <w:rsid w:val="003C3420"/>
    <w:rsid w:val="003C388C"/>
    <w:rsid w:val="003C4CFD"/>
    <w:rsid w:val="003C6F9C"/>
    <w:rsid w:val="003D0118"/>
    <w:rsid w:val="003D4282"/>
    <w:rsid w:val="003E4890"/>
    <w:rsid w:val="003E61BF"/>
    <w:rsid w:val="0040154B"/>
    <w:rsid w:val="004074E8"/>
    <w:rsid w:val="00417F92"/>
    <w:rsid w:val="00427D8E"/>
    <w:rsid w:val="00441CD2"/>
    <w:rsid w:val="00442A9A"/>
    <w:rsid w:val="00445E86"/>
    <w:rsid w:val="00456D8D"/>
    <w:rsid w:val="00457A50"/>
    <w:rsid w:val="00474E04"/>
    <w:rsid w:val="004820E0"/>
    <w:rsid w:val="00490A9C"/>
    <w:rsid w:val="004A2393"/>
    <w:rsid w:val="004A29CE"/>
    <w:rsid w:val="004A4293"/>
    <w:rsid w:val="004C467E"/>
    <w:rsid w:val="004D0C5A"/>
    <w:rsid w:val="004D0E11"/>
    <w:rsid w:val="004D25D5"/>
    <w:rsid w:val="004D3D41"/>
    <w:rsid w:val="004E1396"/>
    <w:rsid w:val="004E1F92"/>
    <w:rsid w:val="004E6582"/>
    <w:rsid w:val="004F23B6"/>
    <w:rsid w:val="004F4DF1"/>
    <w:rsid w:val="00515553"/>
    <w:rsid w:val="005160B2"/>
    <w:rsid w:val="00520E09"/>
    <w:rsid w:val="005317D6"/>
    <w:rsid w:val="00534A58"/>
    <w:rsid w:val="005423FF"/>
    <w:rsid w:val="005431BD"/>
    <w:rsid w:val="00550747"/>
    <w:rsid w:val="00551936"/>
    <w:rsid w:val="005523B4"/>
    <w:rsid w:val="00555F9A"/>
    <w:rsid w:val="00557DE8"/>
    <w:rsid w:val="005608C8"/>
    <w:rsid w:val="00560BA9"/>
    <w:rsid w:val="00563EBC"/>
    <w:rsid w:val="0057526F"/>
    <w:rsid w:val="0059437C"/>
    <w:rsid w:val="005A3370"/>
    <w:rsid w:val="005A62EF"/>
    <w:rsid w:val="005B210F"/>
    <w:rsid w:val="005C50E3"/>
    <w:rsid w:val="005C7F5D"/>
    <w:rsid w:val="005E6344"/>
    <w:rsid w:val="005F3116"/>
    <w:rsid w:val="006043EF"/>
    <w:rsid w:val="006241C7"/>
    <w:rsid w:val="00627861"/>
    <w:rsid w:val="00627B95"/>
    <w:rsid w:val="00643C90"/>
    <w:rsid w:val="006456DE"/>
    <w:rsid w:val="006617E9"/>
    <w:rsid w:val="00664DE7"/>
    <w:rsid w:val="006661AC"/>
    <w:rsid w:val="0067489B"/>
    <w:rsid w:val="006754EA"/>
    <w:rsid w:val="00683994"/>
    <w:rsid w:val="006A0617"/>
    <w:rsid w:val="006A0D1B"/>
    <w:rsid w:val="006A4981"/>
    <w:rsid w:val="006B3511"/>
    <w:rsid w:val="006B4E28"/>
    <w:rsid w:val="006B7ACD"/>
    <w:rsid w:val="006C2301"/>
    <w:rsid w:val="006D16E2"/>
    <w:rsid w:val="006E352B"/>
    <w:rsid w:val="006E507D"/>
    <w:rsid w:val="006E67B2"/>
    <w:rsid w:val="006F0971"/>
    <w:rsid w:val="007035AB"/>
    <w:rsid w:val="007064E0"/>
    <w:rsid w:val="007076A7"/>
    <w:rsid w:val="0071152C"/>
    <w:rsid w:val="00720D95"/>
    <w:rsid w:val="00721C12"/>
    <w:rsid w:val="0072334C"/>
    <w:rsid w:val="00730EE2"/>
    <w:rsid w:val="007322DF"/>
    <w:rsid w:val="00740BD6"/>
    <w:rsid w:val="0074174D"/>
    <w:rsid w:val="00754D56"/>
    <w:rsid w:val="00756A15"/>
    <w:rsid w:val="0076091D"/>
    <w:rsid w:val="007626BB"/>
    <w:rsid w:val="00762707"/>
    <w:rsid w:val="00764B44"/>
    <w:rsid w:val="00765F1D"/>
    <w:rsid w:val="00785F6C"/>
    <w:rsid w:val="00796065"/>
    <w:rsid w:val="007B3BBD"/>
    <w:rsid w:val="007C1867"/>
    <w:rsid w:val="007C2AAF"/>
    <w:rsid w:val="007C6565"/>
    <w:rsid w:val="007D4454"/>
    <w:rsid w:val="007D5622"/>
    <w:rsid w:val="007E4A72"/>
    <w:rsid w:val="007F26B4"/>
    <w:rsid w:val="00803103"/>
    <w:rsid w:val="0080654F"/>
    <w:rsid w:val="008121A2"/>
    <w:rsid w:val="0081453E"/>
    <w:rsid w:val="00815C30"/>
    <w:rsid w:val="00826E9F"/>
    <w:rsid w:val="00832480"/>
    <w:rsid w:val="0083350B"/>
    <w:rsid w:val="00833A7C"/>
    <w:rsid w:val="00835F10"/>
    <w:rsid w:val="0084366D"/>
    <w:rsid w:val="00854F6E"/>
    <w:rsid w:val="00865D04"/>
    <w:rsid w:val="00875457"/>
    <w:rsid w:val="00895BEA"/>
    <w:rsid w:val="008A0055"/>
    <w:rsid w:val="008A0FF4"/>
    <w:rsid w:val="008A3497"/>
    <w:rsid w:val="008A5AF6"/>
    <w:rsid w:val="008A5D98"/>
    <w:rsid w:val="008B69C6"/>
    <w:rsid w:val="008B6AA6"/>
    <w:rsid w:val="008D77BE"/>
    <w:rsid w:val="008E32F0"/>
    <w:rsid w:val="008E5B49"/>
    <w:rsid w:val="008E73FB"/>
    <w:rsid w:val="008F2CA7"/>
    <w:rsid w:val="00904C06"/>
    <w:rsid w:val="009055F7"/>
    <w:rsid w:val="00916A9A"/>
    <w:rsid w:val="00916DA0"/>
    <w:rsid w:val="00917A54"/>
    <w:rsid w:val="00920717"/>
    <w:rsid w:val="00923ED3"/>
    <w:rsid w:val="009339AE"/>
    <w:rsid w:val="00936209"/>
    <w:rsid w:val="009365BE"/>
    <w:rsid w:val="00942D8C"/>
    <w:rsid w:val="009439DD"/>
    <w:rsid w:val="0094409B"/>
    <w:rsid w:val="009443F6"/>
    <w:rsid w:val="0096571F"/>
    <w:rsid w:val="009659A3"/>
    <w:rsid w:val="00972E10"/>
    <w:rsid w:val="00973B12"/>
    <w:rsid w:val="00980D7B"/>
    <w:rsid w:val="00981D9D"/>
    <w:rsid w:val="00985E07"/>
    <w:rsid w:val="00986872"/>
    <w:rsid w:val="00992BA6"/>
    <w:rsid w:val="009950CE"/>
    <w:rsid w:val="009A15C9"/>
    <w:rsid w:val="009B29FC"/>
    <w:rsid w:val="009B5EF0"/>
    <w:rsid w:val="009C5F1E"/>
    <w:rsid w:val="009D29B0"/>
    <w:rsid w:val="009D346B"/>
    <w:rsid w:val="009D7B49"/>
    <w:rsid w:val="009E157F"/>
    <w:rsid w:val="009E73FD"/>
    <w:rsid w:val="009F265F"/>
    <w:rsid w:val="009F5016"/>
    <w:rsid w:val="009F6B32"/>
    <w:rsid w:val="00A05B06"/>
    <w:rsid w:val="00A07BE3"/>
    <w:rsid w:val="00A11771"/>
    <w:rsid w:val="00A20994"/>
    <w:rsid w:val="00A255C2"/>
    <w:rsid w:val="00A376F5"/>
    <w:rsid w:val="00A43553"/>
    <w:rsid w:val="00A55A75"/>
    <w:rsid w:val="00A55C19"/>
    <w:rsid w:val="00A62B41"/>
    <w:rsid w:val="00A725DC"/>
    <w:rsid w:val="00A73AFA"/>
    <w:rsid w:val="00A821C6"/>
    <w:rsid w:val="00A8284B"/>
    <w:rsid w:val="00A8778B"/>
    <w:rsid w:val="00A91434"/>
    <w:rsid w:val="00A95167"/>
    <w:rsid w:val="00A976C3"/>
    <w:rsid w:val="00AA2B3B"/>
    <w:rsid w:val="00AA2BE0"/>
    <w:rsid w:val="00AA3905"/>
    <w:rsid w:val="00AA5A4E"/>
    <w:rsid w:val="00AB47A2"/>
    <w:rsid w:val="00AC2C98"/>
    <w:rsid w:val="00AD1654"/>
    <w:rsid w:val="00AD5446"/>
    <w:rsid w:val="00AE199C"/>
    <w:rsid w:val="00AE6407"/>
    <w:rsid w:val="00AE7281"/>
    <w:rsid w:val="00B03AD3"/>
    <w:rsid w:val="00B052CD"/>
    <w:rsid w:val="00B07D2D"/>
    <w:rsid w:val="00B10FC6"/>
    <w:rsid w:val="00B11A9D"/>
    <w:rsid w:val="00B11F7B"/>
    <w:rsid w:val="00B12169"/>
    <w:rsid w:val="00B12D9E"/>
    <w:rsid w:val="00B13081"/>
    <w:rsid w:val="00B1607C"/>
    <w:rsid w:val="00B17C91"/>
    <w:rsid w:val="00B21ADC"/>
    <w:rsid w:val="00B23950"/>
    <w:rsid w:val="00B2472A"/>
    <w:rsid w:val="00B30722"/>
    <w:rsid w:val="00B37BD1"/>
    <w:rsid w:val="00B4421F"/>
    <w:rsid w:val="00B512B6"/>
    <w:rsid w:val="00B5192F"/>
    <w:rsid w:val="00B6027C"/>
    <w:rsid w:val="00B60FC4"/>
    <w:rsid w:val="00B64ECB"/>
    <w:rsid w:val="00B66F67"/>
    <w:rsid w:val="00B71D32"/>
    <w:rsid w:val="00B913CF"/>
    <w:rsid w:val="00B9297F"/>
    <w:rsid w:val="00B92EA8"/>
    <w:rsid w:val="00B96722"/>
    <w:rsid w:val="00BA29DB"/>
    <w:rsid w:val="00BA39E8"/>
    <w:rsid w:val="00BA444C"/>
    <w:rsid w:val="00BC0F3D"/>
    <w:rsid w:val="00BC11AA"/>
    <w:rsid w:val="00BC2570"/>
    <w:rsid w:val="00BD46C8"/>
    <w:rsid w:val="00BD5E15"/>
    <w:rsid w:val="00BF04E2"/>
    <w:rsid w:val="00BF2499"/>
    <w:rsid w:val="00BF4455"/>
    <w:rsid w:val="00C03A09"/>
    <w:rsid w:val="00C04BB6"/>
    <w:rsid w:val="00C106D7"/>
    <w:rsid w:val="00C11645"/>
    <w:rsid w:val="00C14F93"/>
    <w:rsid w:val="00C24760"/>
    <w:rsid w:val="00C26074"/>
    <w:rsid w:val="00C353D5"/>
    <w:rsid w:val="00C5014D"/>
    <w:rsid w:val="00C52ED0"/>
    <w:rsid w:val="00C54BC5"/>
    <w:rsid w:val="00C54FB2"/>
    <w:rsid w:val="00C749FE"/>
    <w:rsid w:val="00C75387"/>
    <w:rsid w:val="00C77CE3"/>
    <w:rsid w:val="00C83B0A"/>
    <w:rsid w:val="00C871A1"/>
    <w:rsid w:val="00C92162"/>
    <w:rsid w:val="00C94824"/>
    <w:rsid w:val="00CB2060"/>
    <w:rsid w:val="00CB4CFB"/>
    <w:rsid w:val="00CC3BFE"/>
    <w:rsid w:val="00CC3F7B"/>
    <w:rsid w:val="00CC7DB2"/>
    <w:rsid w:val="00CD0BD6"/>
    <w:rsid w:val="00CE09EF"/>
    <w:rsid w:val="00CE1E0C"/>
    <w:rsid w:val="00CE277E"/>
    <w:rsid w:val="00CE387D"/>
    <w:rsid w:val="00CE75E4"/>
    <w:rsid w:val="00CF0881"/>
    <w:rsid w:val="00CF146B"/>
    <w:rsid w:val="00CF7BD2"/>
    <w:rsid w:val="00D15D3E"/>
    <w:rsid w:val="00D1658A"/>
    <w:rsid w:val="00D31AD0"/>
    <w:rsid w:val="00D3333B"/>
    <w:rsid w:val="00D356AC"/>
    <w:rsid w:val="00D45E0D"/>
    <w:rsid w:val="00D4704F"/>
    <w:rsid w:val="00D56867"/>
    <w:rsid w:val="00D65C59"/>
    <w:rsid w:val="00D66629"/>
    <w:rsid w:val="00D72638"/>
    <w:rsid w:val="00D76329"/>
    <w:rsid w:val="00D84229"/>
    <w:rsid w:val="00D9632F"/>
    <w:rsid w:val="00DB68FA"/>
    <w:rsid w:val="00DB6E0E"/>
    <w:rsid w:val="00DC19FC"/>
    <w:rsid w:val="00DC6844"/>
    <w:rsid w:val="00DC7251"/>
    <w:rsid w:val="00DE5A74"/>
    <w:rsid w:val="00DF135C"/>
    <w:rsid w:val="00DF1849"/>
    <w:rsid w:val="00DF5C6C"/>
    <w:rsid w:val="00DF7CCC"/>
    <w:rsid w:val="00E02A7F"/>
    <w:rsid w:val="00E04433"/>
    <w:rsid w:val="00E07880"/>
    <w:rsid w:val="00E10BE9"/>
    <w:rsid w:val="00E17EDE"/>
    <w:rsid w:val="00E20CAE"/>
    <w:rsid w:val="00E20DE0"/>
    <w:rsid w:val="00E20E35"/>
    <w:rsid w:val="00E601F3"/>
    <w:rsid w:val="00E611F3"/>
    <w:rsid w:val="00E632FA"/>
    <w:rsid w:val="00E66936"/>
    <w:rsid w:val="00E753E6"/>
    <w:rsid w:val="00E75A19"/>
    <w:rsid w:val="00E82621"/>
    <w:rsid w:val="00E82AA9"/>
    <w:rsid w:val="00E85E2F"/>
    <w:rsid w:val="00E862F6"/>
    <w:rsid w:val="00E94312"/>
    <w:rsid w:val="00E974E0"/>
    <w:rsid w:val="00EB023B"/>
    <w:rsid w:val="00EB22EC"/>
    <w:rsid w:val="00EB2BD1"/>
    <w:rsid w:val="00EB353C"/>
    <w:rsid w:val="00EB75CD"/>
    <w:rsid w:val="00EC01EC"/>
    <w:rsid w:val="00ED0164"/>
    <w:rsid w:val="00ED33A1"/>
    <w:rsid w:val="00EE2F85"/>
    <w:rsid w:val="00EE53BC"/>
    <w:rsid w:val="00EF3A61"/>
    <w:rsid w:val="00F01BEC"/>
    <w:rsid w:val="00F030E4"/>
    <w:rsid w:val="00F12212"/>
    <w:rsid w:val="00F32376"/>
    <w:rsid w:val="00F370D1"/>
    <w:rsid w:val="00F37923"/>
    <w:rsid w:val="00F41F1B"/>
    <w:rsid w:val="00F44DBE"/>
    <w:rsid w:val="00F51B27"/>
    <w:rsid w:val="00F5233C"/>
    <w:rsid w:val="00F572D7"/>
    <w:rsid w:val="00F721D8"/>
    <w:rsid w:val="00F73B94"/>
    <w:rsid w:val="00F77C9A"/>
    <w:rsid w:val="00F9167B"/>
    <w:rsid w:val="00F9402A"/>
    <w:rsid w:val="00F942DA"/>
    <w:rsid w:val="00F9792E"/>
    <w:rsid w:val="00FA72DA"/>
    <w:rsid w:val="00FB2570"/>
    <w:rsid w:val="00FB576C"/>
    <w:rsid w:val="00FD2AA6"/>
    <w:rsid w:val="00FD5A2A"/>
    <w:rsid w:val="00FE6260"/>
    <w:rsid w:val="00FE746B"/>
    <w:rsid w:val="00FE7E8A"/>
    <w:rsid w:val="00FF477D"/>
    <w:rsid w:val="020A20C6"/>
    <w:rsid w:val="02E07985"/>
    <w:rsid w:val="02E66B31"/>
    <w:rsid w:val="03851ED2"/>
    <w:rsid w:val="03EE58AF"/>
    <w:rsid w:val="06316315"/>
    <w:rsid w:val="064379C1"/>
    <w:rsid w:val="06E60607"/>
    <w:rsid w:val="06E739F6"/>
    <w:rsid w:val="07921036"/>
    <w:rsid w:val="08626C5A"/>
    <w:rsid w:val="08F20176"/>
    <w:rsid w:val="0E752B38"/>
    <w:rsid w:val="0F4A7D3F"/>
    <w:rsid w:val="14732C6D"/>
    <w:rsid w:val="15D72286"/>
    <w:rsid w:val="15DB580B"/>
    <w:rsid w:val="18A92224"/>
    <w:rsid w:val="19A2504A"/>
    <w:rsid w:val="19BE3706"/>
    <w:rsid w:val="1A475CB0"/>
    <w:rsid w:val="1AD97324"/>
    <w:rsid w:val="1B310649"/>
    <w:rsid w:val="1BA004BA"/>
    <w:rsid w:val="1BAC7F86"/>
    <w:rsid w:val="1BE539D2"/>
    <w:rsid w:val="1EB25FAB"/>
    <w:rsid w:val="1EB81D9C"/>
    <w:rsid w:val="1FA73E64"/>
    <w:rsid w:val="21271E30"/>
    <w:rsid w:val="21FC4908"/>
    <w:rsid w:val="22A70FE7"/>
    <w:rsid w:val="230A3639"/>
    <w:rsid w:val="23A719FE"/>
    <w:rsid w:val="25901ED5"/>
    <w:rsid w:val="2649218A"/>
    <w:rsid w:val="27EE2B60"/>
    <w:rsid w:val="28151322"/>
    <w:rsid w:val="2A520044"/>
    <w:rsid w:val="2AE23476"/>
    <w:rsid w:val="2E0A72C8"/>
    <w:rsid w:val="2E1B7727"/>
    <w:rsid w:val="2ECE6548"/>
    <w:rsid w:val="308675AA"/>
    <w:rsid w:val="30B81B1C"/>
    <w:rsid w:val="314E571E"/>
    <w:rsid w:val="316865D6"/>
    <w:rsid w:val="33025375"/>
    <w:rsid w:val="354D6418"/>
    <w:rsid w:val="390E5EBF"/>
    <w:rsid w:val="3AA97207"/>
    <w:rsid w:val="3BA713EC"/>
    <w:rsid w:val="3BD71E99"/>
    <w:rsid w:val="3C3C132C"/>
    <w:rsid w:val="3D5456C8"/>
    <w:rsid w:val="3E6E32C4"/>
    <w:rsid w:val="3E7D6A40"/>
    <w:rsid w:val="3F07204E"/>
    <w:rsid w:val="40D20119"/>
    <w:rsid w:val="428A3B01"/>
    <w:rsid w:val="437652FC"/>
    <w:rsid w:val="461022BE"/>
    <w:rsid w:val="46957C1F"/>
    <w:rsid w:val="47C07775"/>
    <w:rsid w:val="4820176A"/>
    <w:rsid w:val="4844011C"/>
    <w:rsid w:val="48FF75D2"/>
    <w:rsid w:val="4A823094"/>
    <w:rsid w:val="4BEC1766"/>
    <w:rsid w:val="4C224BFA"/>
    <w:rsid w:val="4CD9638C"/>
    <w:rsid w:val="4D07114B"/>
    <w:rsid w:val="4E572491"/>
    <w:rsid w:val="4EDB3A69"/>
    <w:rsid w:val="4F2A3239"/>
    <w:rsid w:val="4F891FE9"/>
    <w:rsid w:val="50052A51"/>
    <w:rsid w:val="515C7595"/>
    <w:rsid w:val="52122BFF"/>
    <w:rsid w:val="52133DDD"/>
    <w:rsid w:val="53CC09F8"/>
    <w:rsid w:val="55933575"/>
    <w:rsid w:val="55F67FAE"/>
    <w:rsid w:val="560125A1"/>
    <w:rsid w:val="566C1C1B"/>
    <w:rsid w:val="56A3467A"/>
    <w:rsid w:val="5752720F"/>
    <w:rsid w:val="58E17944"/>
    <w:rsid w:val="591A18E4"/>
    <w:rsid w:val="5A522FD2"/>
    <w:rsid w:val="5A966C83"/>
    <w:rsid w:val="5B3F0079"/>
    <w:rsid w:val="5B6D0D13"/>
    <w:rsid w:val="5B8706A6"/>
    <w:rsid w:val="5BE80399"/>
    <w:rsid w:val="5DB22A0D"/>
    <w:rsid w:val="5E221858"/>
    <w:rsid w:val="60387B56"/>
    <w:rsid w:val="604C539B"/>
    <w:rsid w:val="60B847DE"/>
    <w:rsid w:val="60F1292E"/>
    <w:rsid w:val="62A10094"/>
    <w:rsid w:val="62D358FF"/>
    <w:rsid w:val="62FF66F4"/>
    <w:rsid w:val="63D93695"/>
    <w:rsid w:val="652E1C0D"/>
    <w:rsid w:val="66174910"/>
    <w:rsid w:val="68B95597"/>
    <w:rsid w:val="68C47A98"/>
    <w:rsid w:val="6A1C6093"/>
    <w:rsid w:val="6A627569"/>
    <w:rsid w:val="6F5D71EF"/>
    <w:rsid w:val="71A35E97"/>
    <w:rsid w:val="755271FF"/>
    <w:rsid w:val="757C5983"/>
    <w:rsid w:val="798F78E0"/>
    <w:rsid w:val="7AFD59C0"/>
    <w:rsid w:val="7DE95B7F"/>
    <w:rsid w:val="7E89659A"/>
    <w:rsid w:val="7EA571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unhideWhenUsed/>
    <w:qFormat/>
    <w:uiPriority w:val="99"/>
    <w:pPr>
      <w:jc w:val="left"/>
    </w:pPr>
  </w:style>
  <w:style w:type="paragraph" w:styleId="3">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4">
    <w:name w:val="Date"/>
    <w:basedOn w:val="1"/>
    <w:next w:val="1"/>
    <w:link w:val="15"/>
    <w:autoRedefine/>
    <w:unhideWhenUsed/>
    <w:qFormat/>
    <w:uiPriority w:val="99"/>
    <w:pPr>
      <w:ind w:left="100" w:leftChars="2500"/>
    </w:pPr>
  </w:style>
  <w:style w:type="paragraph" w:styleId="5">
    <w:name w:val="Balloon Text"/>
    <w:basedOn w:val="1"/>
    <w:link w:val="19"/>
    <w:autoRedefine/>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autoRedefine/>
    <w:semiHidden/>
    <w:unhideWhenUsed/>
    <w:qFormat/>
    <w:uiPriority w:val="99"/>
    <w:rPr>
      <w:b/>
      <w:bCs/>
    </w:rPr>
  </w:style>
  <w:style w:type="table" w:styleId="10">
    <w:name w:val="Table Grid"/>
    <w:basedOn w:val="9"/>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styleId="13">
    <w:name w:val="annotation reference"/>
    <w:autoRedefine/>
    <w:unhideWhenUsed/>
    <w:qFormat/>
    <w:uiPriority w:val="99"/>
    <w:rPr>
      <w:sz w:val="21"/>
      <w:szCs w:val="21"/>
    </w:rPr>
  </w:style>
  <w:style w:type="character" w:customStyle="1" w:styleId="14">
    <w:name w:val="highlight"/>
    <w:basedOn w:val="11"/>
    <w:autoRedefine/>
    <w:qFormat/>
    <w:uiPriority w:val="0"/>
  </w:style>
  <w:style w:type="character" w:customStyle="1" w:styleId="15">
    <w:name w:val="日期 Char"/>
    <w:link w:val="4"/>
    <w:autoRedefine/>
    <w:semiHidden/>
    <w:qFormat/>
    <w:uiPriority w:val="99"/>
    <w:rPr>
      <w:kern w:val="2"/>
      <w:sz w:val="21"/>
      <w:szCs w:val="24"/>
    </w:rPr>
  </w:style>
  <w:style w:type="character" w:customStyle="1" w:styleId="16">
    <w:name w:val="页脚 Char"/>
    <w:link w:val="6"/>
    <w:autoRedefine/>
    <w:qFormat/>
    <w:uiPriority w:val="99"/>
    <w:rPr>
      <w:kern w:val="2"/>
      <w:sz w:val="18"/>
      <w:szCs w:val="18"/>
    </w:rPr>
  </w:style>
  <w:style w:type="character" w:customStyle="1" w:styleId="17">
    <w:name w:val="批注文字 Char"/>
    <w:link w:val="2"/>
    <w:autoRedefine/>
    <w:semiHidden/>
    <w:qFormat/>
    <w:uiPriority w:val="99"/>
    <w:rPr>
      <w:kern w:val="2"/>
      <w:sz w:val="21"/>
      <w:szCs w:val="24"/>
    </w:rPr>
  </w:style>
  <w:style w:type="character" w:customStyle="1" w:styleId="18">
    <w:name w:val="页眉 Char"/>
    <w:link w:val="7"/>
    <w:autoRedefine/>
    <w:semiHidden/>
    <w:qFormat/>
    <w:uiPriority w:val="99"/>
    <w:rPr>
      <w:kern w:val="2"/>
      <w:sz w:val="18"/>
      <w:szCs w:val="18"/>
    </w:rPr>
  </w:style>
  <w:style w:type="character" w:customStyle="1" w:styleId="19">
    <w:name w:val="批注框文本 Char"/>
    <w:link w:val="5"/>
    <w:autoRedefine/>
    <w:semiHidden/>
    <w:qFormat/>
    <w:uiPriority w:val="99"/>
    <w:rPr>
      <w:kern w:val="2"/>
      <w:sz w:val="18"/>
      <w:szCs w:val="18"/>
    </w:rPr>
  </w:style>
  <w:style w:type="paragraph" w:customStyle="1" w:styleId="20">
    <w:name w:val="列出段落1"/>
    <w:basedOn w:val="1"/>
    <w:autoRedefine/>
    <w:qFormat/>
    <w:uiPriority w:val="34"/>
    <w:pPr>
      <w:ind w:firstLine="420" w:firstLineChars="200"/>
    </w:pPr>
    <w:rPr>
      <w:rFonts w:ascii="Calibri" w:hAnsi="Calibri"/>
      <w:szCs w:val="22"/>
    </w:rPr>
  </w:style>
  <w:style w:type="character" w:customStyle="1" w:styleId="21">
    <w:name w:val="批注主题 Char"/>
    <w:basedOn w:val="17"/>
    <w:link w:val="8"/>
    <w:autoRedefine/>
    <w:semiHidden/>
    <w:qFormat/>
    <w:uiPriority w:val="99"/>
    <w:rPr>
      <w:b/>
      <w:bCs/>
      <w:kern w:val="2"/>
      <w:sz w:val="21"/>
      <w:szCs w:val="24"/>
    </w:rPr>
  </w:style>
  <w:style w:type="character" w:customStyle="1" w:styleId="22">
    <w:name w:val="fontstyle01"/>
    <w:basedOn w:val="11"/>
    <w:autoRedefine/>
    <w:qFormat/>
    <w:uiPriority w:val="0"/>
    <w:rPr>
      <w:rFonts w:hint="default" w:ascii="FzBookMaker7DlFont70536871171" w:hAnsi="FzBookMaker7DlFont70536871171"/>
      <w:color w:val="000000"/>
      <w:sz w:val="20"/>
      <w:szCs w:val="20"/>
    </w:rPr>
  </w:style>
  <w:style w:type="character" w:customStyle="1" w:styleId="23">
    <w:name w:val="fontstyle11"/>
    <w:basedOn w:val="11"/>
    <w:autoRedefine/>
    <w:qFormat/>
    <w:uiPriority w:val="0"/>
    <w:rPr>
      <w:rFonts w:hint="default" w:ascii="FzBookMaker11DlFont110536871175" w:hAnsi="FzBookMaker11DlFont110536871175"/>
      <w:color w:val="000000"/>
      <w:sz w:val="20"/>
      <w:szCs w:val="20"/>
    </w:rPr>
  </w:style>
  <w:style w:type="character" w:customStyle="1" w:styleId="24">
    <w:name w:val="fontstyle21"/>
    <w:basedOn w:val="11"/>
    <w:autoRedefine/>
    <w:qFormat/>
    <w:uiPriority w:val="0"/>
    <w:rPr>
      <w:rFonts w:hint="default" w:ascii="FzBookMaker2DlFont20536871173" w:hAnsi="FzBookMaker2DlFont20536871173"/>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3</Pages>
  <Words>739</Words>
  <Characters>889</Characters>
  <Lines>9</Lines>
  <Paragraphs>2</Paragraphs>
  <TotalTime>6</TotalTime>
  <ScaleCrop>false</ScaleCrop>
  <LinksUpToDate>false</LinksUpToDate>
  <CharactersWithSpaces>952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2021-03-26T11:29:00Z</dcterms:created>
  <dc:creator>Legend User</dc:creator>
  <cp:lastModifiedBy>Smile</cp:lastModifiedBy>
  <cp:lastPrinted>2021-03-26T11:08:00Z</cp:lastPrinted>
  <dcterms:modified xsi:type="dcterms:W3CDTF">2025-10-21T07:53:41Z</dcterms:modified>
  <dc:title>××产品质量监督抽查实施细则</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844514BE1F5A4467A9C7ABCFCCFAC986_13</vt:lpwstr>
  </property>
  <property fmtid="{D5CDD505-2E9C-101B-9397-08002B2CF9AE}" pid="4" name="commondata">
    <vt:lpwstr>eyJoZGlkIjoiYTQ3NTQyZmJmYzIyOTQ1MmE5NGM5ODkyNzQ0MmUxMmIifQ==</vt:lpwstr>
  </property>
  <property fmtid="{D5CDD505-2E9C-101B-9397-08002B2CF9AE}" pid="5" name="KSOTemplateDocerSaveRecord">
    <vt:lpwstr>eyJoZGlkIjoiMzEwNTM5NzYwMDRjMzkwZTVkZjY2ODkwMGIxNGU0OTUiLCJ1c2VySWQiOiIzODA3NDc4MDQifQ==</vt:lpwstr>
  </property>
</Properties>
</file>