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spacing w:beforeAutospacing="0" w:afterAutospacing="0" w:line="700" w:lineRule="exact"/>
        <w:jc w:val="both"/>
        <w:textAlignment w:val="auto"/>
        <w:rPr>
          <w:rFonts w:hint="default" w:ascii="Times New Roman" w:hAnsi="Times New Roman" w:eastAsia="仿宋_GB2312" w:cs="Times New Roman"/>
          <w:color w:val="000000" w:themeColor="text1"/>
          <w:spacing w:val="-4"/>
          <w:szCs w:val="32"/>
          <w14:textFill>
            <w14:solidFill>
              <w14:schemeClr w14:val="tx1"/>
            </w14:solidFill>
          </w14:textFill>
        </w:rPr>
      </w:pPr>
      <w:bookmarkStart w:id="0" w:name="_GoBack"/>
      <w:r>
        <w:rPr>
          <w:rFonts w:hint="default" w:ascii="Times New Roman" w:hAnsi="Times New Roman" w:eastAsia="黑体" w:cs="Times New Roman"/>
          <w:b w:val="0"/>
          <w:bCs w:val="0"/>
          <w:color w:val="000000" w:themeColor="text1"/>
          <w:sz w:val="32"/>
          <w:szCs w:val="32"/>
          <w:lang w:eastAsia="zh-CN"/>
          <w14:textFill>
            <w14:solidFill>
              <w14:schemeClr w14:val="tx1"/>
            </w14:solidFill>
          </w14:textFill>
        </w:rPr>
        <w:t>附件</w:t>
      </w:r>
      <w:r>
        <w:rPr>
          <w:rFonts w:hint="default" w:ascii="Times New Roman" w:hAnsi="Times New Roman" w:eastAsia="黑体" w:cs="Times New Roman"/>
          <w:b w:val="0"/>
          <w:bCs w:val="0"/>
          <w:color w:val="000000" w:themeColor="text1"/>
          <w:sz w:val="32"/>
          <w:szCs w:val="32"/>
          <w:lang w:val="en-US" w:eastAsia="zh-CN"/>
          <w14:textFill>
            <w14:solidFill>
              <w14:schemeClr w14:val="tx1"/>
            </w14:solidFill>
          </w14:textFill>
        </w:rPr>
        <w:t>5</w:t>
      </w:r>
    </w:p>
    <w:bookmarkEnd w:id="0"/>
    <w:p>
      <w:pPr>
        <w:adjustRightInd w:val="0"/>
        <w:spacing w:line="480" w:lineRule="exact"/>
        <w:ind w:right="-693" w:rightChars="-330"/>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bCs/>
          <w:sz w:val="32"/>
          <w:szCs w:val="32"/>
        </w:rPr>
        <w:t xml:space="preserve">                           </w:t>
      </w:r>
    </w:p>
    <w:p>
      <w:pPr>
        <w:keepNext w:val="0"/>
        <w:keepLines w:val="0"/>
        <w:pageBreakBefore w:val="0"/>
        <w:widowControl w:val="0"/>
        <w:tabs>
          <w:tab w:val="left" w:pos="1672"/>
        </w:tabs>
        <w:kinsoku/>
        <w:wordWrap/>
        <w:overflowPunct/>
        <w:topLinePunct w:val="0"/>
        <w:autoSpaceDE/>
        <w:autoSpaceDN/>
        <w:bidi w:val="0"/>
        <w:adjustRightInd/>
        <w:snapToGrid/>
        <w:spacing w:line="700" w:lineRule="exact"/>
        <w:ind w:left="0" w:leftChars="0" w:right="0" w:firstLine="0" w:firstLineChars="0"/>
        <w:jc w:val="center"/>
        <w:textAlignment w:val="auto"/>
        <w:rPr>
          <w:rFonts w:hint="default" w:ascii="Times New Roman" w:hAnsi="Times New Roman" w:eastAsia="方正小标宋简体" w:cs="Times New Roman"/>
          <w:color w:val="000000" w:themeColor="text1"/>
          <w:spacing w:val="-4"/>
          <w:sz w:val="44"/>
          <w:szCs w:val="44"/>
          <w14:textFill>
            <w14:solidFill>
              <w14:schemeClr w14:val="tx1"/>
            </w14:solidFill>
          </w14:textFill>
        </w:rPr>
      </w:pPr>
      <w:r>
        <w:rPr>
          <w:rFonts w:hint="default" w:ascii="Times New Roman" w:hAnsi="Times New Roman" w:eastAsia="方正小标宋简体" w:cs="Times New Roman"/>
          <w:color w:val="000000" w:themeColor="text1"/>
          <w:spacing w:val="-4"/>
          <w:sz w:val="44"/>
          <w:szCs w:val="44"/>
          <w14:textFill>
            <w14:solidFill>
              <w14:schemeClr w14:val="tx1"/>
            </w14:solidFill>
          </w14:textFill>
        </w:rPr>
        <w:t>伊犁州2025年</w:t>
      </w:r>
      <w:r>
        <w:rPr>
          <w:rFonts w:hint="default" w:ascii="Times New Roman" w:hAnsi="Times New Roman" w:eastAsia="方正小标宋简体" w:cs="Times New Roman"/>
          <w:color w:val="000000" w:themeColor="text1"/>
          <w:sz w:val="44"/>
          <w:szCs w:val="44"/>
          <w:lang w:eastAsia="zh-CN"/>
          <w14:textFill>
            <w14:solidFill>
              <w14:schemeClr w14:val="tx1"/>
            </w14:solidFill>
          </w14:textFill>
        </w:rPr>
        <w:t>塑料购物袋</w:t>
      </w:r>
      <w:r>
        <w:rPr>
          <w:rFonts w:hint="default" w:ascii="Times New Roman" w:hAnsi="Times New Roman" w:eastAsia="方正小标宋简体" w:cs="Times New Roman"/>
          <w:color w:val="000000" w:themeColor="text1"/>
          <w:spacing w:val="-4"/>
          <w:sz w:val="44"/>
          <w:szCs w:val="44"/>
          <w14:textFill>
            <w14:solidFill>
              <w14:schemeClr w14:val="tx1"/>
            </w14:solidFill>
          </w14:textFill>
        </w:rPr>
        <w:t>产品质量</w:t>
      </w:r>
    </w:p>
    <w:p>
      <w:pPr>
        <w:keepNext w:val="0"/>
        <w:keepLines w:val="0"/>
        <w:pageBreakBefore w:val="0"/>
        <w:widowControl w:val="0"/>
        <w:tabs>
          <w:tab w:val="left" w:pos="1672"/>
        </w:tabs>
        <w:kinsoku/>
        <w:wordWrap/>
        <w:overflowPunct/>
        <w:topLinePunct w:val="0"/>
        <w:autoSpaceDE/>
        <w:autoSpaceDN/>
        <w:bidi w:val="0"/>
        <w:adjustRightInd/>
        <w:snapToGrid/>
        <w:spacing w:line="700" w:lineRule="exact"/>
        <w:ind w:left="0" w:leftChars="0" w:right="0" w:firstLine="0" w:firstLineChars="0"/>
        <w:jc w:val="center"/>
        <w:textAlignment w:val="auto"/>
        <w:rPr>
          <w:rFonts w:hint="default" w:ascii="Times New Roman" w:hAnsi="Times New Roman" w:eastAsia="仿宋_GB2312" w:cs="Times New Roman"/>
          <w:color w:val="000000" w:themeColor="text1"/>
          <w:spacing w:val="-4"/>
          <w:sz w:val="32"/>
          <w:szCs w:val="32"/>
          <w14:textFill>
            <w14:solidFill>
              <w14:schemeClr w14:val="tx1"/>
            </w14:solidFill>
          </w14:textFill>
        </w:rPr>
      </w:pPr>
      <w:r>
        <w:rPr>
          <w:rFonts w:hint="default" w:ascii="Times New Roman" w:hAnsi="Times New Roman" w:eastAsia="方正小标宋简体" w:cs="Times New Roman"/>
          <w:color w:val="000000" w:themeColor="text1"/>
          <w:spacing w:val="-4"/>
          <w:sz w:val="44"/>
          <w:szCs w:val="44"/>
          <w14:textFill>
            <w14:solidFill>
              <w14:schemeClr w14:val="tx1"/>
            </w14:solidFill>
          </w14:textFill>
        </w:rPr>
        <w:t>监督抽查实施细则</w:t>
      </w:r>
    </w:p>
    <w:p>
      <w:pPr>
        <w:pStyle w:val="6"/>
        <w:widowControl/>
        <w:spacing w:beforeAutospacing="0" w:afterAutospacing="0" w:line="480" w:lineRule="atLeast"/>
        <w:jc w:val="both"/>
        <w:rPr>
          <w:rFonts w:hint="default" w:ascii="Times New Roman" w:hAnsi="Times New Roman" w:eastAsia="仿宋_GB2312" w:cs="Times New Roman"/>
          <w:color w:val="000000" w:themeColor="text1"/>
          <w:sz w:val="32"/>
          <w:szCs w:val="32"/>
          <w14:textFill>
            <w14:solidFill>
              <w14:schemeClr w14:val="tx1"/>
            </w14:solidFill>
          </w14:textFill>
        </w:rPr>
      </w:pP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1 抽样方法</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1.1 抽样地点及型号或规格</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抽样地点为伊犁州辖区内塑料购物袋产品生产及销售企业。</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抽取样品应为同一生产企业生产的同一种类、同一型号规格、同一批次的产品。</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在生产、销售企业抽样时，应抽取在待销产品中有产品质量检验合格证明或者以其他形式表明合格的产品。</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1.2 抽样方法、基数及数量</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严格按照相关产品标准中有关抽样规则进行样品抽取，随机抽取同一生产企业生产的同一种类、同一型号规格、同一批次的产品。</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随机数一般可使用随机数表、骰子或扑克牌等方法产生。</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14:textFill>
            <w14:solidFill>
              <w14:schemeClr w14:val="tx1"/>
            </w14:solidFill>
          </w14:textFill>
        </w:rPr>
        <w:t>采样数量：100只（其中备样50只）。</w:t>
      </w:r>
      <w:r>
        <w:rPr>
          <w:rFonts w:hint="default" w:ascii="Times New Roman" w:hAnsi="Times New Roman" w:eastAsia="仿宋_GB2312" w:cs="Times New Roman"/>
          <w:color w:val="000000" w:themeColor="text1"/>
          <w:sz w:val="32"/>
          <w:szCs w:val="32"/>
          <w14:textFill>
            <w14:solidFill>
              <w14:schemeClr w14:val="tx1"/>
            </w14:solidFill>
          </w14:textFill>
        </w:rPr>
        <w:t>抽样基数满足抽样数量即可。</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抽样数量和抽样过程要求依据产品执行标准确定。</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2.检验依据</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表1塑料购物袋</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420"/>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(明示标准为GB/T 21661-2020的塑料购物袋)</w:t>
      </w:r>
    </w:p>
    <w:tbl>
      <w:tblPr>
        <w:tblStyle w:val="7"/>
        <w:tblW w:w="813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15"/>
        <w:gridCol w:w="1772"/>
        <w:gridCol w:w="2391"/>
        <w:gridCol w:w="315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15" w:hRule="atLeast"/>
          <w:jc w:val="center"/>
        </w:trPr>
        <w:tc>
          <w:tcPr>
            <w:tcW w:w="815" w:type="dxa"/>
            <w:tcBorders>
              <w:top w:val="outset" w:color="auto" w:sz="6" w:space="0"/>
              <w:left w:val="outset" w:color="auto" w:sz="6" w:space="0"/>
              <w:bottom w:val="outset" w:color="auto" w:sz="6" w:space="0"/>
              <w:right w:val="outset" w:color="auto" w:sz="6" w:space="0"/>
            </w:tcBorders>
            <w:shd w:val="clear" w:color="auto" w:fill="auto"/>
            <w:vAlign w:val="center"/>
          </w:tcPr>
          <w:p>
            <w:pPr>
              <w:pStyle w:val="6"/>
              <w:widowControl/>
              <w:spacing w:beforeAutospacing="0" w:afterAutospacing="0"/>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序号</w:t>
            </w:r>
          </w:p>
        </w:tc>
        <w:tc>
          <w:tcPr>
            <w:tcW w:w="1772" w:type="dxa"/>
            <w:tcBorders>
              <w:top w:val="outset" w:color="auto" w:sz="6" w:space="0"/>
              <w:left w:val="outset" w:color="auto" w:sz="6" w:space="0"/>
              <w:bottom w:val="outset" w:color="auto" w:sz="6" w:space="0"/>
              <w:right w:val="outset" w:color="auto" w:sz="6" w:space="0"/>
            </w:tcBorders>
            <w:shd w:val="clear" w:color="auto" w:fill="auto"/>
            <w:vAlign w:val="center"/>
          </w:tcPr>
          <w:p>
            <w:pPr>
              <w:pStyle w:val="6"/>
              <w:widowControl/>
              <w:spacing w:beforeAutospacing="0" w:afterAutospacing="0"/>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检验项目</w:t>
            </w:r>
          </w:p>
        </w:tc>
        <w:tc>
          <w:tcPr>
            <w:tcW w:w="2391" w:type="dxa"/>
            <w:tcBorders>
              <w:top w:val="outset" w:color="auto" w:sz="6" w:space="0"/>
              <w:left w:val="outset" w:color="auto" w:sz="6" w:space="0"/>
              <w:bottom w:val="outset" w:color="auto" w:sz="6" w:space="0"/>
              <w:right w:val="outset" w:color="auto" w:sz="6" w:space="0"/>
            </w:tcBorders>
            <w:shd w:val="clear" w:color="auto" w:fill="auto"/>
            <w:vAlign w:val="center"/>
          </w:tcPr>
          <w:p>
            <w:pPr>
              <w:pStyle w:val="6"/>
              <w:widowControl/>
              <w:spacing w:beforeAutospacing="0" w:afterAutospacing="0"/>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判定依据</w:t>
            </w:r>
          </w:p>
        </w:tc>
        <w:tc>
          <w:tcPr>
            <w:tcW w:w="3159" w:type="dxa"/>
            <w:tcBorders>
              <w:top w:val="outset" w:color="auto" w:sz="6" w:space="0"/>
              <w:left w:val="outset" w:color="auto" w:sz="6" w:space="0"/>
              <w:bottom w:val="outset" w:color="auto" w:sz="6" w:space="0"/>
              <w:right w:val="outset" w:color="auto" w:sz="6" w:space="0"/>
            </w:tcBorders>
            <w:shd w:val="clear" w:color="auto" w:fill="auto"/>
            <w:vAlign w:val="center"/>
          </w:tcPr>
          <w:p>
            <w:pPr>
              <w:pStyle w:val="6"/>
              <w:widowControl/>
              <w:spacing w:beforeAutospacing="0" w:afterAutospacing="0"/>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检验方法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34" w:hRule="atLeast"/>
          <w:jc w:val="center"/>
        </w:trPr>
        <w:tc>
          <w:tcPr>
            <w:tcW w:w="815" w:type="dxa"/>
            <w:tcBorders>
              <w:top w:val="outset" w:color="auto" w:sz="6" w:space="0"/>
              <w:left w:val="outset" w:color="auto" w:sz="6" w:space="0"/>
              <w:bottom w:val="outset" w:color="auto" w:sz="6" w:space="0"/>
              <w:right w:val="outset" w:color="auto" w:sz="6" w:space="0"/>
            </w:tcBorders>
            <w:shd w:val="clear" w:color="auto" w:fill="auto"/>
            <w:vAlign w:val="center"/>
          </w:tcPr>
          <w:p>
            <w:pPr>
              <w:pStyle w:val="6"/>
              <w:widowControl/>
              <w:spacing w:beforeAutospacing="0" w:afterAutospacing="0"/>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w:t>
            </w:r>
          </w:p>
        </w:tc>
        <w:tc>
          <w:tcPr>
            <w:tcW w:w="1772" w:type="dxa"/>
            <w:tcBorders>
              <w:top w:val="outset" w:color="auto" w:sz="6" w:space="0"/>
              <w:left w:val="outset" w:color="auto" w:sz="6" w:space="0"/>
              <w:bottom w:val="outset" w:color="auto" w:sz="6" w:space="0"/>
              <w:right w:val="outset" w:color="auto" w:sz="6" w:space="0"/>
            </w:tcBorders>
            <w:shd w:val="clear" w:color="auto" w:fill="auto"/>
            <w:vAlign w:val="center"/>
          </w:tcPr>
          <w:p>
            <w:pPr>
              <w:pStyle w:val="6"/>
              <w:widowControl/>
              <w:spacing w:beforeAutospacing="0" w:afterAutospacing="0"/>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标识要求</w:t>
            </w:r>
          </w:p>
        </w:tc>
        <w:tc>
          <w:tcPr>
            <w:tcW w:w="2391" w:type="dxa"/>
            <w:vMerge w:val="restart"/>
            <w:tcBorders>
              <w:top w:val="outset" w:color="auto" w:sz="6" w:space="0"/>
              <w:left w:val="outset" w:color="auto" w:sz="6" w:space="0"/>
              <w:right w:val="outset" w:color="auto" w:sz="6" w:space="0"/>
            </w:tcBorders>
            <w:shd w:val="clear" w:color="auto" w:fill="auto"/>
            <w:vAlign w:val="center"/>
          </w:tcPr>
          <w:p>
            <w:pPr>
              <w:pStyle w:val="6"/>
              <w:widowControl/>
              <w:spacing w:beforeAutospacing="0" w:afterAutospacing="0"/>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GB/T 21661-2020</w:t>
            </w:r>
          </w:p>
        </w:tc>
        <w:tc>
          <w:tcPr>
            <w:tcW w:w="3159" w:type="dxa"/>
            <w:tcBorders>
              <w:top w:val="outset" w:color="auto" w:sz="6" w:space="0"/>
              <w:left w:val="outset" w:color="auto" w:sz="6" w:space="0"/>
              <w:bottom w:val="outset" w:color="auto" w:sz="6" w:space="0"/>
              <w:right w:val="outset" w:color="auto" w:sz="6" w:space="0"/>
            </w:tcBorders>
            <w:shd w:val="clear" w:color="auto" w:fill="auto"/>
            <w:vAlign w:val="center"/>
          </w:tcPr>
          <w:p>
            <w:pPr>
              <w:pStyle w:val="6"/>
              <w:widowControl/>
              <w:spacing w:beforeAutospacing="0" w:afterAutospacing="0"/>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GB/T 21661-2020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34" w:hRule="atLeast"/>
          <w:jc w:val="center"/>
        </w:trPr>
        <w:tc>
          <w:tcPr>
            <w:tcW w:w="815" w:type="dxa"/>
            <w:tcBorders>
              <w:top w:val="outset" w:color="auto" w:sz="6" w:space="0"/>
              <w:left w:val="outset" w:color="auto" w:sz="6" w:space="0"/>
              <w:bottom w:val="outset" w:color="auto" w:sz="6" w:space="0"/>
              <w:right w:val="outset" w:color="auto" w:sz="6" w:space="0"/>
            </w:tcBorders>
            <w:shd w:val="clear" w:color="auto" w:fill="auto"/>
            <w:vAlign w:val="center"/>
          </w:tcPr>
          <w:p>
            <w:pPr>
              <w:pStyle w:val="6"/>
              <w:widowControl/>
              <w:spacing w:beforeAutospacing="0" w:afterAutospacing="0"/>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w:t>
            </w:r>
          </w:p>
        </w:tc>
        <w:tc>
          <w:tcPr>
            <w:tcW w:w="1772" w:type="dxa"/>
            <w:tcBorders>
              <w:top w:val="outset" w:color="auto" w:sz="6" w:space="0"/>
              <w:left w:val="outset" w:color="auto" w:sz="6" w:space="0"/>
              <w:bottom w:val="outset" w:color="auto" w:sz="6" w:space="0"/>
              <w:right w:val="outset" w:color="auto" w:sz="6" w:space="0"/>
            </w:tcBorders>
            <w:shd w:val="clear" w:color="auto" w:fill="auto"/>
            <w:vAlign w:val="center"/>
          </w:tcPr>
          <w:p>
            <w:pPr>
              <w:pStyle w:val="6"/>
              <w:widowControl/>
              <w:spacing w:beforeAutospacing="0" w:afterAutospacing="0"/>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环保要求</w:t>
            </w:r>
          </w:p>
        </w:tc>
        <w:tc>
          <w:tcPr>
            <w:tcW w:w="2391" w:type="dxa"/>
            <w:vMerge w:val="continue"/>
            <w:tcBorders>
              <w:left w:val="outset" w:color="auto" w:sz="6" w:space="0"/>
              <w:right w:val="outset" w:color="auto" w:sz="6" w:space="0"/>
            </w:tcBorders>
            <w:shd w:val="clear" w:color="auto" w:fill="auto"/>
            <w:vAlign w:val="center"/>
          </w:tcPr>
          <w:p>
            <w:pPr>
              <w:pStyle w:val="6"/>
              <w:jc w:val="center"/>
              <w:rPr>
                <w:rFonts w:hint="default" w:ascii="Times New Roman" w:hAnsi="Times New Roman" w:eastAsia="仿宋_GB2312" w:cs="Times New Roman"/>
                <w:color w:val="000000" w:themeColor="text1"/>
                <w:sz w:val="32"/>
                <w:szCs w:val="32"/>
                <w14:textFill>
                  <w14:solidFill>
                    <w14:schemeClr w14:val="tx1"/>
                  </w14:solidFill>
                </w14:textFill>
              </w:rPr>
            </w:pPr>
          </w:p>
        </w:tc>
        <w:tc>
          <w:tcPr>
            <w:tcW w:w="3159" w:type="dxa"/>
            <w:tcBorders>
              <w:top w:val="outset" w:color="auto" w:sz="6" w:space="0"/>
              <w:left w:val="outset" w:color="auto" w:sz="6" w:space="0"/>
              <w:bottom w:val="outset" w:color="auto" w:sz="6" w:space="0"/>
              <w:right w:val="outset" w:color="auto" w:sz="6" w:space="0"/>
            </w:tcBorders>
            <w:shd w:val="clear" w:color="auto" w:fill="auto"/>
            <w:vAlign w:val="center"/>
          </w:tcPr>
          <w:p>
            <w:pPr>
              <w:pStyle w:val="6"/>
              <w:widowControl/>
              <w:spacing w:beforeAutospacing="0" w:afterAutospacing="0"/>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GB/T 21661-2020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34" w:hRule="atLeast"/>
          <w:jc w:val="center"/>
        </w:trPr>
        <w:tc>
          <w:tcPr>
            <w:tcW w:w="815" w:type="dxa"/>
            <w:tcBorders>
              <w:top w:val="outset" w:color="auto" w:sz="6" w:space="0"/>
              <w:left w:val="outset" w:color="auto" w:sz="6" w:space="0"/>
              <w:bottom w:val="outset" w:color="auto" w:sz="6" w:space="0"/>
              <w:right w:val="outset" w:color="auto" w:sz="6" w:space="0"/>
            </w:tcBorders>
            <w:shd w:val="clear" w:color="auto" w:fill="auto"/>
            <w:vAlign w:val="center"/>
          </w:tcPr>
          <w:p>
            <w:pPr>
              <w:pStyle w:val="6"/>
              <w:widowControl/>
              <w:spacing w:beforeAutospacing="0" w:afterAutospacing="0"/>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w:t>
            </w:r>
          </w:p>
        </w:tc>
        <w:tc>
          <w:tcPr>
            <w:tcW w:w="1772" w:type="dxa"/>
            <w:tcBorders>
              <w:top w:val="outset" w:color="auto" w:sz="6" w:space="0"/>
              <w:left w:val="outset" w:color="auto" w:sz="6" w:space="0"/>
              <w:bottom w:val="outset" w:color="auto" w:sz="6" w:space="0"/>
              <w:right w:val="outset" w:color="auto" w:sz="6" w:space="0"/>
            </w:tcBorders>
            <w:shd w:val="clear" w:color="auto" w:fill="auto"/>
            <w:vAlign w:val="center"/>
          </w:tcPr>
          <w:p>
            <w:pPr>
              <w:pStyle w:val="6"/>
              <w:widowControl/>
              <w:spacing w:beforeAutospacing="0" w:afterAutospacing="0"/>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厚度偏差</w:t>
            </w:r>
          </w:p>
        </w:tc>
        <w:tc>
          <w:tcPr>
            <w:tcW w:w="2391" w:type="dxa"/>
            <w:vMerge w:val="continue"/>
            <w:tcBorders>
              <w:left w:val="outset" w:color="auto" w:sz="6" w:space="0"/>
              <w:right w:val="outset" w:color="auto" w:sz="6" w:space="0"/>
            </w:tcBorders>
            <w:shd w:val="clear" w:color="auto" w:fill="auto"/>
            <w:vAlign w:val="center"/>
          </w:tcPr>
          <w:p>
            <w:pPr>
              <w:jc w:val="center"/>
              <w:rPr>
                <w:rFonts w:hint="default" w:ascii="Times New Roman" w:hAnsi="Times New Roman" w:eastAsia="仿宋_GB2312" w:cs="Times New Roman"/>
                <w:color w:val="000000" w:themeColor="text1"/>
                <w:sz w:val="32"/>
                <w:szCs w:val="32"/>
                <w14:textFill>
                  <w14:solidFill>
                    <w14:schemeClr w14:val="tx1"/>
                  </w14:solidFill>
                </w14:textFill>
              </w:rPr>
            </w:pPr>
          </w:p>
        </w:tc>
        <w:tc>
          <w:tcPr>
            <w:tcW w:w="3159" w:type="dxa"/>
            <w:tcBorders>
              <w:top w:val="outset" w:color="auto" w:sz="6" w:space="0"/>
              <w:left w:val="outset" w:color="auto" w:sz="6" w:space="0"/>
              <w:bottom w:val="outset" w:color="auto" w:sz="6" w:space="0"/>
              <w:right w:val="outset" w:color="auto" w:sz="6" w:space="0"/>
            </w:tcBorders>
            <w:shd w:val="clear" w:color="auto" w:fill="auto"/>
            <w:vAlign w:val="center"/>
          </w:tcPr>
          <w:p>
            <w:pPr>
              <w:pStyle w:val="6"/>
              <w:widowControl/>
              <w:spacing w:beforeAutospacing="0" w:afterAutospacing="0"/>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GB/T 21661-2020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34" w:hRule="atLeast"/>
          <w:jc w:val="center"/>
        </w:trPr>
        <w:tc>
          <w:tcPr>
            <w:tcW w:w="815" w:type="dxa"/>
            <w:tcBorders>
              <w:top w:val="outset" w:color="auto" w:sz="6" w:space="0"/>
              <w:left w:val="outset" w:color="auto" w:sz="6" w:space="0"/>
              <w:bottom w:val="outset" w:color="auto" w:sz="6" w:space="0"/>
              <w:right w:val="outset" w:color="auto" w:sz="6" w:space="0"/>
            </w:tcBorders>
            <w:shd w:val="clear" w:color="auto" w:fill="auto"/>
            <w:vAlign w:val="center"/>
          </w:tcPr>
          <w:p>
            <w:pPr>
              <w:pStyle w:val="6"/>
              <w:widowControl/>
              <w:spacing w:beforeAutospacing="0" w:afterAutospacing="0"/>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4</w:t>
            </w:r>
          </w:p>
        </w:tc>
        <w:tc>
          <w:tcPr>
            <w:tcW w:w="1772" w:type="dxa"/>
            <w:tcBorders>
              <w:top w:val="outset" w:color="auto" w:sz="6" w:space="0"/>
              <w:left w:val="outset" w:color="auto" w:sz="6" w:space="0"/>
              <w:bottom w:val="outset" w:color="auto" w:sz="6" w:space="0"/>
              <w:right w:val="outset" w:color="auto" w:sz="6" w:space="0"/>
            </w:tcBorders>
            <w:shd w:val="clear" w:color="auto" w:fill="auto"/>
            <w:vAlign w:val="center"/>
          </w:tcPr>
          <w:p>
            <w:pPr>
              <w:pStyle w:val="6"/>
              <w:widowControl/>
              <w:spacing w:beforeAutospacing="0" w:afterAutospacing="0"/>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跌落试验</w:t>
            </w:r>
          </w:p>
        </w:tc>
        <w:tc>
          <w:tcPr>
            <w:tcW w:w="2391" w:type="dxa"/>
            <w:vMerge w:val="continue"/>
            <w:tcBorders>
              <w:left w:val="outset" w:color="auto" w:sz="6" w:space="0"/>
              <w:right w:val="outset" w:color="auto" w:sz="6" w:space="0"/>
            </w:tcBorders>
            <w:shd w:val="clear" w:color="auto" w:fill="auto"/>
            <w:vAlign w:val="center"/>
          </w:tcPr>
          <w:p>
            <w:pPr>
              <w:jc w:val="center"/>
              <w:rPr>
                <w:rFonts w:hint="default" w:ascii="Times New Roman" w:hAnsi="Times New Roman" w:eastAsia="仿宋_GB2312" w:cs="Times New Roman"/>
                <w:color w:val="000000" w:themeColor="text1"/>
                <w:sz w:val="32"/>
                <w:szCs w:val="32"/>
                <w14:textFill>
                  <w14:solidFill>
                    <w14:schemeClr w14:val="tx1"/>
                  </w14:solidFill>
                </w14:textFill>
              </w:rPr>
            </w:pPr>
          </w:p>
        </w:tc>
        <w:tc>
          <w:tcPr>
            <w:tcW w:w="3159" w:type="dxa"/>
            <w:tcBorders>
              <w:top w:val="outset" w:color="auto" w:sz="6" w:space="0"/>
              <w:left w:val="outset" w:color="auto" w:sz="6" w:space="0"/>
              <w:bottom w:val="outset" w:color="auto" w:sz="6" w:space="0"/>
              <w:right w:val="outset" w:color="auto" w:sz="6" w:space="0"/>
            </w:tcBorders>
            <w:shd w:val="clear" w:color="auto" w:fill="auto"/>
            <w:vAlign w:val="center"/>
          </w:tcPr>
          <w:p>
            <w:pPr>
              <w:pStyle w:val="6"/>
              <w:widowControl/>
              <w:spacing w:beforeAutospacing="0" w:afterAutospacing="0"/>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GB/T 21661-2020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34" w:hRule="atLeast"/>
          <w:jc w:val="center"/>
        </w:trPr>
        <w:tc>
          <w:tcPr>
            <w:tcW w:w="815" w:type="dxa"/>
            <w:tcBorders>
              <w:top w:val="outset" w:color="auto" w:sz="6" w:space="0"/>
              <w:left w:val="outset" w:color="auto" w:sz="6" w:space="0"/>
              <w:bottom w:val="outset" w:color="auto" w:sz="6" w:space="0"/>
              <w:right w:val="outset" w:color="auto" w:sz="6" w:space="0"/>
            </w:tcBorders>
            <w:shd w:val="clear" w:color="auto" w:fill="auto"/>
            <w:vAlign w:val="center"/>
          </w:tcPr>
          <w:p>
            <w:pPr>
              <w:pStyle w:val="6"/>
              <w:widowControl/>
              <w:spacing w:beforeAutospacing="0" w:afterAutospacing="0"/>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5</w:t>
            </w:r>
          </w:p>
        </w:tc>
        <w:tc>
          <w:tcPr>
            <w:tcW w:w="1772" w:type="dxa"/>
            <w:tcBorders>
              <w:top w:val="outset" w:color="auto" w:sz="6" w:space="0"/>
              <w:left w:val="outset" w:color="auto" w:sz="6" w:space="0"/>
              <w:bottom w:val="outset" w:color="auto" w:sz="6" w:space="0"/>
              <w:right w:val="outset" w:color="auto" w:sz="6" w:space="0"/>
            </w:tcBorders>
            <w:shd w:val="clear" w:color="auto" w:fill="auto"/>
            <w:vAlign w:val="center"/>
          </w:tcPr>
          <w:p>
            <w:pPr>
              <w:pStyle w:val="6"/>
              <w:widowControl/>
              <w:spacing w:beforeAutospacing="0" w:afterAutospacing="0"/>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漏水性</w:t>
            </w:r>
          </w:p>
        </w:tc>
        <w:tc>
          <w:tcPr>
            <w:tcW w:w="2391" w:type="dxa"/>
            <w:vMerge w:val="continue"/>
            <w:tcBorders>
              <w:left w:val="outset" w:color="auto" w:sz="6" w:space="0"/>
              <w:right w:val="outset" w:color="auto" w:sz="6" w:space="0"/>
            </w:tcBorders>
            <w:shd w:val="clear" w:color="auto" w:fill="auto"/>
            <w:vAlign w:val="center"/>
          </w:tcPr>
          <w:p>
            <w:pPr>
              <w:jc w:val="center"/>
              <w:rPr>
                <w:rFonts w:hint="default" w:ascii="Times New Roman" w:hAnsi="Times New Roman" w:eastAsia="仿宋_GB2312" w:cs="Times New Roman"/>
                <w:color w:val="000000" w:themeColor="text1"/>
                <w:sz w:val="32"/>
                <w:szCs w:val="32"/>
                <w14:textFill>
                  <w14:solidFill>
                    <w14:schemeClr w14:val="tx1"/>
                  </w14:solidFill>
                </w14:textFill>
              </w:rPr>
            </w:pPr>
          </w:p>
        </w:tc>
        <w:tc>
          <w:tcPr>
            <w:tcW w:w="3159" w:type="dxa"/>
            <w:tcBorders>
              <w:top w:val="outset" w:color="auto" w:sz="6" w:space="0"/>
              <w:left w:val="outset" w:color="auto" w:sz="6" w:space="0"/>
              <w:bottom w:val="outset" w:color="auto" w:sz="6" w:space="0"/>
              <w:right w:val="outset" w:color="auto" w:sz="6" w:space="0"/>
            </w:tcBorders>
            <w:shd w:val="clear" w:color="auto" w:fill="auto"/>
            <w:vAlign w:val="center"/>
          </w:tcPr>
          <w:p>
            <w:pPr>
              <w:pStyle w:val="6"/>
              <w:widowControl/>
              <w:spacing w:beforeAutospacing="0" w:afterAutospacing="0"/>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GB/T 21661-2020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34" w:hRule="atLeast"/>
          <w:jc w:val="center"/>
        </w:trPr>
        <w:tc>
          <w:tcPr>
            <w:tcW w:w="815" w:type="dxa"/>
            <w:tcBorders>
              <w:top w:val="outset" w:color="auto" w:sz="6" w:space="0"/>
              <w:left w:val="outset" w:color="auto" w:sz="6" w:space="0"/>
              <w:bottom w:val="outset" w:color="auto" w:sz="6" w:space="0"/>
              <w:right w:val="outset" w:color="auto" w:sz="6" w:space="0"/>
            </w:tcBorders>
            <w:shd w:val="clear" w:color="auto" w:fill="auto"/>
            <w:vAlign w:val="center"/>
          </w:tcPr>
          <w:p>
            <w:pPr>
              <w:pStyle w:val="6"/>
              <w:widowControl/>
              <w:spacing w:beforeAutospacing="0" w:afterAutospacing="0"/>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6</w:t>
            </w:r>
          </w:p>
        </w:tc>
        <w:tc>
          <w:tcPr>
            <w:tcW w:w="1772" w:type="dxa"/>
            <w:tcBorders>
              <w:top w:val="outset" w:color="auto" w:sz="6" w:space="0"/>
              <w:left w:val="outset" w:color="auto" w:sz="6" w:space="0"/>
              <w:bottom w:val="outset" w:color="auto" w:sz="6" w:space="0"/>
              <w:right w:val="outset" w:color="auto" w:sz="6" w:space="0"/>
            </w:tcBorders>
            <w:shd w:val="clear" w:color="auto" w:fill="auto"/>
            <w:vAlign w:val="center"/>
          </w:tcPr>
          <w:p>
            <w:pPr>
              <w:pStyle w:val="6"/>
              <w:widowControl/>
              <w:spacing w:beforeAutospacing="0" w:afterAutospacing="0"/>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封合强度</w:t>
            </w:r>
          </w:p>
        </w:tc>
        <w:tc>
          <w:tcPr>
            <w:tcW w:w="2391" w:type="dxa"/>
            <w:vMerge w:val="continue"/>
            <w:tcBorders>
              <w:left w:val="outset" w:color="auto" w:sz="6" w:space="0"/>
              <w:right w:val="outset" w:color="auto" w:sz="6" w:space="0"/>
            </w:tcBorders>
            <w:shd w:val="clear" w:color="auto" w:fill="auto"/>
            <w:vAlign w:val="center"/>
          </w:tcPr>
          <w:p>
            <w:pPr>
              <w:jc w:val="center"/>
              <w:rPr>
                <w:rFonts w:hint="default" w:ascii="Times New Roman" w:hAnsi="Times New Roman" w:eastAsia="仿宋_GB2312" w:cs="Times New Roman"/>
                <w:color w:val="000000" w:themeColor="text1"/>
                <w:sz w:val="32"/>
                <w:szCs w:val="32"/>
                <w14:textFill>
                  <w14:solidFill>
                    <w14:schemeClr w14:val="tx1"/>
                  </w14:solidFill>
                </w14:textFill>
              </w:rPr>
            </w:pPr>
          </w:p>
        </w:tc>
        <w:tc>
          <w:tcPr>
            <w:tcW w:w="3159" w:type="dxa"/>
            <w:tcBorders>
              <w:top w:val="outset" w:color="auto" w:sz="6" w:space="0"/>
              <w:left w:val="outset" w:color="auto" w:sz="6" w:space="0"/>
              <w:bottom w:val="outset" w:color="auto" w:sz="6" w:space="0"/>
              <w:right w:val="outset" w:color="auto" w:sz="6" w:space="0"/>
            </w:tcBorders>
            <w:shd w:val="clear" w:color="auto" w:fill="auto"/>
            <w:vAlign w:val="center"/>
          </w:tcPr>
          <w:p>
            <w:pPr>
              <w:pStyle w:val="6"/>
              <w:widowControl/>
              <w:spacing w:beforeAutospacing="0" w:afterAutospacing="0"/>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QB/T2358-1998</w:t>
            </w:r>
          </w:p>
        </w:tc>
      </w:tr>
    </w:tbl>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注：如公称厚度小于0.030mm，不检验厚度偏差。</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3.判定规则</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3.1 依据标准</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凡是注日期的文件，其随后所有的修改单(不包括勘误的内容)或修订版不适用于本细则。凡是不注日期的文件，其最新版本适用于本细则。</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GB/T 21661-2020《塑料购物袋》</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产品明示质量指标及国家法律、法规、规章的有关规定</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3.2判定原则</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经检验，检验项目全部合格，判定为被抽查产品合格；检验项目中任一项或一项以上不合格，判定为被抽查产品不合格。</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若被检产品明示的质量要求高于本细则中检验项目依据的标准要求时，应按被检产品明示的质量要求判定。</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若被检产品明示的质量要求低于本细则中检验项目依据的强制性标准要求时，应按照强制性标准要求判定。</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若被检产品明示的质量要求低于或包含细则中检验项目依据的推荐性标准要求时，应以被检产品明示的质量要求判定，但应在检验报告备注中进行说明。</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若被检产品明示的质量要求缺少本细则中检验项目依据的强制性标准要求时，应按照强制性标准要求判定。</w:t>
      </w:r>
    </w:p>
    <w:p>
      <w:pPr>
        <w:pStyle w:val="6"/>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若被检产品明示的质量要求缺少本细则中检验项目依据的推荐性标准要求时，该项目不参与判定，但应在检验报告备注中进行说明。</w:t>
      </w:r>
    </w:p>
    <w:p>
      <w:pPr>
        <w:pStyle w:val="10"/>
        <w:jc w:val="both"/>
        <w:rPr>
          <w:rFonts w:hint="default" w:ascii="Times New Roman" w:hAnsi="Times New Roman" w:cs="Times New Roman"/>
          <w:color w:val="000000" w:themeColor="text1"/>
          <w:u w:val="single"/>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                        </w:t>
      </w:r>
    </w:p>
    <w:p>
      <w:pPr>
        <w:snapToGrid w:val="0"/>
        <w:spacing w:line="440" w:lineRule="exact"/>
        <w:ind w:firstLine="636" w:firstLineChars="199"/>
        <w:rPr>
          <w:rFonts w:hint="default" w:ascii="Times New Roman" w:hAnsi="Times New Roman" w:eastAsia="仿宋_GB2312" w:cs="Times New Roman"/>
          <w:b/>
          <w:bCs/>
          <w:color w:val="333333"/>
          <w:kern w:val="0"/>
          <w:sz w:val="32"/>
          <w:szCs w:val="32"/>
          <w:lang w:bidi="ar"/>
        </w:rPr>
      </w:pPr>
      <w:r>
        <w:rPr>
          <w:rFonts w:hint="default" w:ascii="Times New Roman" w:hAnsi="Times New Roman" w:eastAsia="仿宋_GB2312" w:cs="Times New Roman"/>
          <w:color w:val="000000"/>
          <w:sz w:val="32"/>
          <w:szCs w:val="32"/>
        </w:rPr>
        <w:t xml:space="preserve">  </w:t>
      </w:r>
    </w:p>
    <w:sectPr>
      <w:footerReference r:id="rId3" w:type="default"/>
      <w:pgSz w:w="11906" w:h="16838"/>
      <w:pgMar w:top="2098" w:right="1531" w:bottom="1984" w:left="1531" w:header="851" w:footer="850"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3"/>
                    </w:pPr>
                    <w: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ZkNTBiMjVkYzg1MzNjMTAwZDZkZWUwZmExYTM2YzcifQ=="/>
  </w:docVars>
  <w:rsids>
    <w:rsidRoot w:val="71F71821"/>
    <w:rsid w:val="00007EC6"/>
    <w:rsid w:val="00020F4B"/>
    <w:rsid w:val="00373444"/>
    <w:rsid w:val="0043292B"/>
    <w:rsid w:val="004F26EB"/>
    <w:rsid w:val="005F693A"/>
    <w:rsid w:val="005F7936"/>
    <w:rsid w:val="006E4020"/>
    <w:rsid w:val="00894601"/>
    <w:rsid w:val="00991B04"/>
    <w:rsid w:val="009C7810"/>
    <w:rsid w:val="00B15FB1"/>
    <w:rsid w:val="00F054C8"/>
    <w:rsid w:val="0CC37993"/>
    <w:rsid w:val="2935022C"/>
    <w:rsid w:val="43D015FE"/>
    <w:rsid w:val="48F77437"/>
    <w:rsid w:val="71F71821"/>
    <w:rsid w:val="7FBF5E0C"/>
    <w:rsid w:val="7FFC35D0"/>
    <w:rsid w:val="9CBDF11F"/>
    <w:rsid w:val="FB3B5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11"/>
    <w:qFormat/>
    <w:uiPriority w:val="0"/>
    <w:pPr>
      <w:spacing w:before="240" w:after="60" w:line="312" w:lineRule="auto"/>
      <w:jc w:val="center"/>
      <w:outlineLvl w:val="1"/>
    </w:pPr>
    <w:rPr>
      <w:b/>
      <w:bCs/>
      <w:kern w:val="28"/>
      <w:sz w:val="32"/>
      <w:szCs w:val="32"/>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页眉 字符"/>
    <w:basedOn w:val="8"/>
    <w:link w:val="4"/>
    <w:qFormat/>
    <w:uiPriority w:val="0"/>
    <w:rPr>
      <w:rFonts w:asciiTheme="minorHAnsi" w:hAnsiTheme="minorHAnsi" w:eastAsiaTheme="minorEastAsia" w:cstheme="minorBidi"/>
      <w:kern w:val="2"/>
      <w:sz w:val="18"/>
      <w:szCs w:val="18"/>
    </w:rPr>
  </w:style>
  <w:style w:type="paragraph" w:customStyle="1" w:styleId="10">
    <w:name w:val="Style1"/>
    <w:basedOn w:val="1"/>
    <w:next w:val="5"/>
    <w:uiPriority w:val="0"/>
    <w:pPr>
      <w:widowControl/>
      <w:autoSpaceDE w:val="0"/>
      <w:spacing w:after="120"/>
    </w:pPr>
    <w:rPr>
      <w:rFonts w:ascii="Times New Roman" w:hAnsi="Times New Roman" w:eastAsia="宋体" w:cs="Times New Roman"/>
      <w:color w:val="000000"/>
      <w:kern w:val="0"/>
      <w:sz w:val="24"/>
    </w:rPr>
  </w:style>
  <w:style w:type="character" w:customStyle="1" w:styleId="11">
    <w:name w:val="副标题 字符"/>
    <w:basedOn w:val="8"/>
    <w:link w:val="5"/>
    <w:uiPriority w:val="0"/>
    <w:rPr>
      <w:rFonts w:asciiTheme="minorHAnsi" w:hAnsiTheme="minorHAnsi" w:eastAsiaTheme="minorEastAsia" w:cstheme="minorBidi"/>
      <w:b/>
      <w:bCs/>
      <w:kern w:val="28"/>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193</Words>
  <Characters>1102</Characters>
  <Lines>9</Lines>
  <Paragraphs>2</Paragraphs>
  <TotalTime>4</TotalTime>
  <ScaleCrop>false</ScaleCrop>
  <LinksUpToDate>false</LinksUpToDate>
  <CharactersWithSpaces>1293</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2025-09-08T20:47:00Z</dcterms:created>
  <dc:creator>宝爸</dc:creator>
  <cp:lastModifiedBy>zjc</cp:lastModifiedBy>
  <dcterms:modified xsi:type="dcterms:W3CDTF">2025-10-17T19:28:15Z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5ECDBD2C89F84439BA8F266DB8EC4991_11</vt:lpwstr>
  </property>
</Properties>
</file>