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贯彻国家教育方针，实施职业中专学历教育和职业技术教育，培养高速质劳动者和应用型、技能型实用人才。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霍尔果斯中等职业技术学校无下属预算单位，下设9个处室，分别是：党办、办公室、纪检委、后勤保障处、学保科、财务处、组织人事处、教务处、发展规划处。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（2）2021年霍尔果斯中等职业技术学校实有在职人员为100人，其中：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事业在职100人（上年104人），同比上年减少4人；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 或与上年一致。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实有退休人员3人（上年2人）, 同比上年增加1人。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正常运行需要的人员保障，计划投入1146.39万元，要完成培养中专学历技能型人才。促进经济发展提升社会就业率，改善中等职业学校办学条件，提升中等职业教育基础能力，丰富专业建设内涵，提高师资队伍水平及提升人才培养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（2）、正常运行需要的物质保障，计划投入872.28万元。保障教育教学正常开展及运转支出;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为保障学生顺利完成学业，贯彻落实教育部提出做好2020年各直属院校补助资金（免教材、住宿）资金及教育质量提升计划，计划投入2320.04万元，学生家庭经济困难补助免学费，教材费，完善我校资助工作，同时提高教育教学质量，使学生享受到了优惠政策.为社会培养合格技术人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2021年批复我单位全年预算数为4854.54万元，其中：年初批复的财政拨款为2532.20万元。年中追加资金2322.34万元，调整率91.71%。对比上年3598.24万元增加1256.3万元，上升34.91%。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2021年实际决算支出4710.62万元，执行率99.6%，其中：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2019.98万元，占总支出的42.88％，主要用于本单位机构正常运转、完成日常工作任务而发生的各项支出。其中：工资福利支出1146.39万元，主要用于在职和离退休人员基本工资、职工交社保公积金、津贴补贴等人员经费。商品和服务支出872.28万元，主要用于办公费、印刷费、水电费、办公设备购置等。对个人和家庭的补助1.31万元，主要用于退休人员统筹外工资、死亡抚恤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2690.64万元，占总支出的57.12％。其中：中职免住宿免教材、国家助学金州级配套项目安排199.91万元，主要用于完成中职学生免学费、免住宿、免教材、助学金及奖学金。学生资助补助项目安排692.42万元，主要用于完成中职学生免学费助学金及奖学金。学生资助补助项目安排357.06万元，主要用于完成中职学生免学费助学金及奖学金。中职免住宿、免教材项目安排232.88万元，主要用于完成中职学生免住宿、免教材。中职免住宿、免教材项目安排218.58万元，主要用于完成中职学生免学费、奖学金。现代教育质量提升项目安排291万元，主要用于完成楼宇自动化实训基地设备。现代教育质量提升项目安排290.99万元，主要用于完成新能源汽车实训基地设备。现代教育质量提升项目安排37.2万元，主要用于完成2019年弱电改造工程款。汽车美容与装潢项目安排19.3万元，主要用于完成汽车美容与装潢专项课程教学资源、课程实训设备采购。债券还本付息项目安排173.3万元，主要用于完成政府债券还本付息，政府债券主要用于购买基本设备。隐性债务还款项目安排178万元，主要用于完成支付学校建设初期欠工程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2634.14万元，重点支出保障率97.90%。其中重点保障项目是中职免住宿免教材、国家助学金州级配套项目、中职免住宿、免教材项目、学生资助补助项目、现代教育质量提升项目，债券还本付息项目、隐性债务还款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（4）本年度本单位全年政府采购预算698.98万元,实际用于政府采购金额698.98万元，采购执行率100.00 %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霍尔果斯中等职业技术学校整体支出绩效自评采用比较法、因素分析法相结合的方法。原因是：通过对绩效目标与实施效果、历史与当期情况同类支出的比较，综合分析绩效目标实现程度，把各项绩效指标的实际水平，对照评价标准值，分别计算各项指标评价得分，再按照设定的各项指标权数计算出综合评价得分，分析评价绩效目标实现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涉及对象：本次评价对象是霍尔果斯中等职业技术学校所有财政资金支出活动。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①基本支出2019.98万元，其中：其中包括工资福利支出、商品和服务支出、对个人和家庭的补助支出。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②项目支出2709.35万元：中职免住宿免教材、国家助学金州级配套项目、中职免住宿、免教材项目、学生资助补助项目、学生资助补助项目、中职免住宿、免教材项目、现代教育质量提升项目，现代教育质量提升项目、现代教育质量提升项目、债券还本付息项目、隐性债务还款项目，汽车美容与装潢项目。</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政府信息公开有关规定要求，部门预算及绩效目标在伊犁州政府网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霍尔果斯中等职业技术学校《伊犁丝路职业学院专项资金管理办法》、《伊犁丝路职业学院预算管理办法》相关规定和霍尔果斯中等职业技术学校《伊犁丝路职业学院经费审批管理办法》 规定流程，资金支出按照我内控体系中设定的流程申报审批进行；项目支出属于政府采购的，按照霍尔果斯中等职业技术学校《伊犁丝路职业学院政府采购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2021年基本支出预算安排2019.98万元，实际到位2019.98万元,实际支出2019.98万元，占总支出的42.88％，其中：工资福利支出    1146.39万元、商品和服务支出872.28万元、对个人和家庭的补助    1.31万元、工资福利支出主要用于在职和离退休人员基本工资、津贴补贴等人员经费。商品和服务支出主要用于办公费、印刷费、水电费、办公设备购置等。对个人和家庭的补助主要用于退休人员统筹外及抚恤金等。资本性支出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2021年基本支出比上年1847.68万元,增加172.3万元，上升9.33%，支出上升的主要原因是人员工资调整及财政核拨了党组织活动经费。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2021年一般公共预算“三公”经费数为1.15万元，其中：因公出国（境）费0万元，公务用车购置0万元，公务用车运行费1.15万元，公务接待费0万元。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1.15万元，其中：因公出国（境）费增加0万元，主要原因是我单位本年度与上年度均未安排此项支出；公务用车购置费为0，未安排预算。公务用车运行费增加1.15万元，主要原因是本年度增加一辆公务用车支出；公务接待费增加0万元，主要原因是单位本年度与上年度均未安排此项支出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2021年预算安排专项资金2709.35万元，实际到位2709.35万元, 到位率100.00％,其中:中央转移支付项目资金2214.47万元，自治区资金294.97万元，本级安排199.91万元。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（5）2021年专项资金支出2690.64万元，占总支出的57.12%，其中2021年专项项目支出比上年1238.48万元增加1452.16万元，上升117.25%。支出上升的主要原因是学生人数增加及安排了现代教育质量提升计划。其中：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专项资金管理情况中职免住宿免教材、国家助学金州级配套项目安排199.91万元，主要用于完成中职学生免学费、免住宿、免教材、助学金及奖学金。学生资助补助项目安排692.42万元，主要用于完成中职学生免学费助学金及奖学金。学生资助补助项目安排357.06万元，主要用于完成中职学生免学费助学金及奖学金。中职免住宿、免教材项目安排232.88万元，主要用于完成中职学生免住宿、免教材。学生资助补助经费项目安排218.58万元，主要用于完成中职学生免学费、奖学金。现代教育质量提升项目安排291万元，主要用于完成楼宇自动化实训基地设备。现代教育质量提升项目安排290.99万元，主要用于完成新能源汽车实训基地设备。现代教育质量提升项目安排37.2万元，主要用于完成2019年弱电改造工程款。汽车美容与装潢项目安排19.3万元，主要用于完成汽车美容与装潢专项课程教学资源、课程实训设备采购。债券还本付息项目安排173.3万元，主要用于完成政府债券还本付息，政府债券主要用于购买基本设备。隐性债务还款项目安排178万元，主要用于完成支付学校建设初期欠工程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教育质量提升项目》，《三免一补项目》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（2）建立教育质量提升、康复实训楼项目及三免一补专项资金专帐，做到有据可依，有据可查。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（3）制订了教育质量提升及康复实训楼项目实施方案，确保项目按进度实施。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（4）认真组织教育质量提升项目验收，确保设备保质保量购置。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专项资金涉及政府采购项目的，按照局《霍尔果斯中等职业技术学校采购与招标管理办法》组织人员制定采购计划，按照财政局采购部门批复，进行公开招标、邀请招标等方式进行。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截止12月24日，该专项均按照时间计划保质、保量完成。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2709.35万元，实际到位2709.35万元，资金到位率100.00%。截止到2021年12月24日执行2690.64万元，执行率99.31%。其中：2021年结转专项资金37.2万元，实际执行37.2万元，执行率为100.00%；2021年新增专项资金2672.15万元，实际执行2653.44万元，执行率为99.30%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霍尔果斯中等职业技术学校，根据2021年4个项目的绩效目标及工作内容，将其细化分工至本单位3个处室负责人，加强组织领导，明确分工，各司其职，抓好工作目标任务的落实完成，同时年中要求各处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霍尔果斯中等职业技术学校，实施的11个项目，由相关业务处室指派专人进行全过程跟踪管理，处室负责人统筹推进项目实施，部门领导不定期对项目进度进行调度，并对项目质量进行控制。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霍尔果斯中等职业技术学校学生处、教务处从项目实施方案、项目预算、项目建设进度、项目成本、项目验收等环节，全过程对项目进行监管，并向本部门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霍尔果斯中等职业技术学校，所涉及专项项目均已于专项资金下达后按照资金文件及绩效管理要求设置《项目绩效目标表》。11个专项项目预算总额为2709.35万元，在项目实施过程中，业务人员加强项目管理，合理控制项目成本，截止项目结束，11个项目总成本为2690.64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霍尔果斯中等职业技术学校，所涉及专项项目使用资金比专项项目总预算减少 0.11万元，项目节约率为0.004%。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2021年霍尔果斯中等职业技术学校共涉及专项项目11个，截止到2021年底，通过专项项目实施过程中的有效监督，我单位按预期完成了11个专项的各项专项任务，项目总体完成率为</w:t>
      </w:r>
      <w:r>
        <w:rPr>
          <w:rFonts w:hint="eastAsia" w:ascii="仿宋_GB2312" w:hAnsi="宋体" w:eastAsia="仿宋_GB2312"/>
          <w:b/>
          <w:sz w:val="32"/>
          <w:szCs w:val="32"/>
        </w:rPr>
        <w:tab/>
        <w:t>98.49%。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①政府债务还本付息项目完成政府债务本金及利息；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②中等职业教育免住宿免教材、国家助学金州级配套资金项目完成部分学生的住宿费、教材费全免，助学金已发放到位；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③中等职业教育免住宿、免教材资金项目完成部分学生的住宿费、教材费全免；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④学校化解隐性债务项目完成对8个单位的工程欠款还款；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⑤学生资助补助项目完成部分学生的免学费、困难学生助学金已发放完毕；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⑥学生资助补助项目完成部分学生的住宿费、教材费全免；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⑦学生资助经费项目完成部分学生的免学费、困难学生助学金已发放完毕；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⑧汽车美容与装潢项目主要用于完成汽车美容与装潢专项课程教学资源、课程实训设备采购。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⑨现代教育质量提升项目主要用于完成楼宇自动化实训基地设备购置工作。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⑩现代教育质量提升项目主要用于完成新能源汽车实训基地设备购置工作。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？现代教育质量提升项目主要用于完成2019年弱电改造工程，工程已完工投入使用。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1、政府债务还本付息项目债务规模控制在100%，有效的控制了债务的规模；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中等职业教育免住宿免教材、国家助学金州级配套资金项目实施三免一补政策使自治区达到了15年免费教育的政策的预期目标，减免政策最大程度的减轻了学生的经济负担，提高了学生的学习积极性，同时提高了就业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3、中等职业教育免住宿、免教材资金项目实施三免一补政策使自治区达到了15年免费教育的政策的预期目标，减免政策最大程度的减轻了学生的经济负担，提高了学生的学习积极性；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4、学校化解隐性债务项目通过初期的建设学校达到了职业中专学校的基本条件，在同等中专学校中硬件条件达到较高水平，有效提升了学校整体竞争力，为中职教育事业提供有利保障。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5、学生资助补助项目实施三免一补政策使自治区达到了15年免费教育的政策的预期目标，减免政策最大程度的减轻了学生的经济负担，提高了学生的学习积极性；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6、学生资助补助项目实施三免一补政策使自治区达到了15年免费教育的政策的预期目标，减免政策最大程度的减轻了学生的经济负担，提高了学生的学习积极性；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7、学生资助经费项目通过对贫困地区、农村、牧区的倾斜政策，解决了因贫困无法就学的问题，进一步普及15年免费教育的政策，彻底消除因学致贫的可能。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8、汽车美容与装潢项目通过彩票公益金对教育事业款实现品牌专业建设，提高了专业水平，购置的相关专业耗材有效的用于教学，进一步提高学生技能培训。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 现代教育质量提升项目通过楼宇自动化实训基地购进设备对学生技术技能培训有很大提高，进一步提高就业率更好的服务社会，带动伊犁州中职教育发展。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10、现代教育质量提升项目通过购买新能源汽车实训基地设备对学生技术技能培训有很大提高，进一步提高就业率更好的服务社会，带动伊犁州中职教育发展。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11、现代教育质量提升项目完成2019年弱电改造工程对校园安全及网络安全有很大提高，设备对学生实习实训起到关键作用。</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霍尔果斯中等职业技术学校资产总额2970.7万元，其中流动资产1048.84万元（其中其中财政应返还额度97.99万元、预付账款87.5万元、其他应收款845.66万元、存货17.69万元），固定资产净值27631.67万元（其中：土地、房屋及构筑物25286.3万元，占固定资产净值的91.51%；通用设备1187.05万元，占固定资产净值的4.30%；专用设备886.66万元，占固定资产净值的3.21%；其他271.66万元，占固定资产净值的0.98%）。</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本年度流动资产1048.84万元，比上年增加25.48万元，原因是：预付账款增加。</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本年度固定资产33350.81万元，比上年增加27644.84 万元，原因是：在建工程转增固定资产。</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实际在用固定资产33350.81万元，固定资产利用率100.00%。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2021年度我单位年初预算安排2532.20万元，年中调整2197.13万元，截止12月底支出4710.62万元，执行率99.60%。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2、全年按照部门预算进行成本控制，全部控制在厉行节约指标数内。其他支出按财政部门下达的计划实施，全年没有项目超支（若有超支请详细说明情况）。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霍尔果斯中等职业技术学校在州财政局的大力支持和州党委教育工委、州教育局的正确领导下，我单位迎难而上、务实重干，积极推动各项教育工作取得了新的进展，为促进经济持续健康发展与社会和谐稳定提供了有力的资金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1、圆满完成我校各项工作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确保全年工作正常运转的情况下，全面提升教育服务水平、管理水平，积极推动教育工作稳步发展，实现教育提质增效。</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2、转化成果，扎实为群众办实事好事、做好“校园好网民”工程建设任务提前完成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通过设置意见箱等形式征求师生和家长的意见诉求。建立了“10+3+N”工作清单，共梳理出为群众办实事好事清单70条，目前已办结64项，办结率91.4%。引入企业，扩建医务室药房，解决一万余名学生疫情防控期间外出看病买药难问题。搭建就业平台，与疆内外235家企事业单位签订三方协议，举行就业动员会20余场次，组织双选会20余场次，解决毕业生就业问题。增设3辆校车，解决教职工上下班困难的问题。充分发挥职业学院的办学特色和专业特长，积极开展下乡义诊，义务剪发，为复转军人开展驾驶培训和烹饪培训等活动。通过设立“校园好网民”宣传栏和校园广播站专栏加强宣传，以召开主题班会和“校园好网民”主题团日活动等形式，以鲜活的案例引导青少年正确认识互联网，合理运用互联网，引导广大团员青年守法上网、安全上网、文明上网、绿色上网、健康上网，信守网络诚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3、以党史学习教育为抓手，全面强化党的建设。一是深化思想教育，树牢为党育人为国育才的思想不动摇成效显著成效显著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成立由党委书记为组长的党史学习教育工作领导小组。明确细化责任分工，制定《党史学习教育工作方案》《党史学习教育工作责任清单》《青少年“四史”学习教育工作责任清单》。</w:t>
      </w:r>
      <w:r>
        <w:rPr>
          <w:rFonts w:hint="eastAsia" w:ascii="仿宋_GB2312" w:hAnsi="宋体" w:eastAsia="仿宋_GB2312"/>
          <w:b/>
          <w:sz w:val="32"/>
          <w:szCs w:val="32"/>
          <w:lang w:eastAsia="zh-CN"/>
        </w:rPr>
        <w:t>理论学习中心组</w:t>
      </w:r>
      <w:r>
        <w:rPr>
          <w:rFonts w:hint="eastAsia" w:ascii="仿宋_GB2312" w:hAnsi="宋体" w:eastAsia="仿宋_GB2312"/>
          <w:b/>
          <w:sz w:val="32"/>
          <w:szCs w:val="32"/>
        </w:rPr>
        <w:t>开展“党史学习教育”集中学习21次，党委委员讲党课22人次，撰写调研报告8篇。为各基层党组织、全体党员干部教师购买必读书目1228套，选读书目50套，少数民族语言学习书目18套，整理500余道“四史”应知应会题印制成册，供师生学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注重“全员覆盖，应学尽学”，建立每周五下午集中学习2小时，日常自学1小时，暑假前后各集中学习5天的学党史长效机制，统一制定每周个人自学和集中学习计划，集中学习186场次，召开先进事迹报告会1场次。围绕学习习近平总书记“七一”重要讲话精神专题学习研讨49场次，座谈交流会24场次。选拔20名思政干部教师成立学院党史学习教育宣讲团，与各基层党组织书记一起通过现场和网络直播相结合的形式，面向全体师生和访惠聚所驻村、“民族团结一家亲”结亲村宣讲70余场次，覆盖人数5万余人次，邀请校外专家开展专题讲座7场次，观看视频讲座41场次，覆盖人数1.8万人次。各基层党组织开展了“学习党史国史”读书分享会、党史学习教育知识竞赛、“唱红歌·颂党恩·共谱民族团结情”师生同台大合唱比赛、与常州机电职业技术学院开展了线上共学党史活动等“党旗映天山”主题党日活动67场次，观看红色电影18场次，参观红色教育基地16场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4、提高常规管理效率，提升专业建设。内涵以赛促教，拓宽人才成长通道，师生满意度高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提高常规管理效率，提升专业建设。一是牵头组建“两霍两伊”职教发展联盟，并成为全国现代生活服务业产教融合联盟副理事长单位。二是加强信息化建设。引进教务管理信息系统，搭建新型信息化教学管理平台，提升教学管理水平。三是对照专业教学标准，系统修订2021级新生人才培养方案。成功申报2个自治区级品牌专业，工艺美术、艺术设计与制作、中医护理、护理、康复技术、中医康复技术、医学影像技术、药剂等专业召开了专业建设专家论证会。四是推进1+X证书试点工作。落实职业院校学历教育和培训并举并重的法定职责，坚持学历教育与职业培训相结合，促进书证融通，努力培养企业好用的高素质技术技能人才，2021年新申报家庭保健按摩、产后恢复、药品购销、直播电商等4个1+X证书试点（学院现有1+X证书试点10个，目前共计培训651人）。五是成立大国工匠顾秋亮等5个大师工作室丝路职院分站。2021年新申报3个自治州技能大师工作室（“伊犁州宗玉电工技能大师工作室”“伊犁州杨玉荣钳工技能大师工作室”“伊犁州赵春丽服装技能大师工作室”），正待批复。六是疫情防控期间停课不停学，线上教学平稳运行。通过下发《线上教学工作指导意见》，对任课教师线上教学课前、课中、课后提出相关要求，并规范教学过程，提高教学质量。下发《钉钉在线课堂操作指南》，指导任课教师快速掌握钉钉相关功能的操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内涵以赛促教，拓宽人才成长通道。一是2021年邀请援疆后方单位6位专家赴伊犁对全国乡村振兴技能大赛新疆赛区选拔赛选出的参赛选手进行集训；分批派出四支队伍赴无锡汽车工程高职校、南通中专校、苏州高职校、苏州建设交通高职校分别在车身助理、智能家居安装与维护、液压与气动系统装调与维护、汽车机电维修等方面进行集训。二是学院技能大赛硕果累累。学院师生参加全国职业院校技能大赛，共获得1个一等奖和2个三等奖，其中液压与气动系统装调与维护赛项荣获国赛一等奖，实现2017年以来新疆代表队在全国职业院校技能大赛上一等奖零的突破。汽车机电维修和车身修复两个赛项均荣获三等奖，实现了办赛以来该赛项的新疆最好成绩；参加自治区职业院校技能大赛，共获得31个奖项，其中一等奖8个，二等奖15个，三等奖8个，8位指导教师获得优秀指导教师称号。三是参加全国乡村振兴职业技能大赛新疆区选拔赛，共获得两个一等奖，3个二等奖，5个三等奖，11名教师获得优秀指导教师称号；首届全国乡村振兴职业技能大赛，学院电工赛项（职工组）夺得铜牌。四是围绕第七届全国“互联网+”大学生创新创业大赛，组织了3次专题推进会、6场专题讲座，培育了24个师生创新创业项目。学院选送的15个项目进入自治区复赛，创全疆中职学校参赛之最。其中《“面”上巧思量，“塑”出大文章》参赛团队进入新疆决赛夺得铜奖。五是参加第三届全国职业院校“人卫杯”检验专业微课竞赛获得2个二等奖。参加自治区职业院校教学能力大赛，护理团队获得一等奖、工艺美术团队获得三等奖；参加全国职业院校技能大赛教学能力比赛，护理团队和工艺美术团队均获得三等奖。六是学院参加伊犁州第二届全民健身网络运动会荣获最佳组织奖，参加伊犁州机关事务管理系统文化知识与服务技能竞赛荣获一等奖。教师组获得四个一等奖、一个二等奖、5个三等奖。学生组获得1个一等奖、2个二等奖、1个三等奖。七是协助做好2021年伊犁州职业技能大赛的策划、组织工作，承担了该赛事的前方指挥工作，同时组织完成了电工、西式面点师、美发师、汽车维修工、餐厅服务员、砌筑工、电子商务师、老年照护、母婴照顾九个赛项的承办工作。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霍尔果斯中等职业技术学校各项工作成效上，一是民族团结的思想基石进一步夯实；二是学前教育能力进一步提升；三是教学条件进一步改善；四是党员干部政治理论水平进一步提高；五是标准化规范化党支委建设进一步推进；七是教育教学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推进思政课改革创新。一是成立马克思主义学院党支部，加强党对思政工作的领导。建立党委班子联系思政课教师工作制度，党委委员、党支部书记带头和思政课教师结对子，带头走进思政课堂，带头推动思政课建设。二是与常州机电工程学院马克思主义学院、无锡职业技术学院马克思主义学院、伊犁州党校第五党支部建成共建单位，实现学校与兄弟院校党建资源共享。三是规范开设思政课。持续加强以习近平新时代中国特色社会主义思想为核心内容的思政课课程群建设。严格规范使用国家规划教材，以“必修课+选修课”为基本框架，构建学院思政课课程体系。结合新疆实际开设好新疆地方史、党的民族宗教政策和科学无神论等相关内容的地方思政课课程，上好形势与政策课，切实提高课程设置的针对性实效性。四是着力加强思政课骨干教师培养。马克思主义学院杜亚卓老师入选自治区思想政治理论课中青年骨干教师，迪娃、位燕老师申报的课题《提升新疆中职思政课堂实效途径探究》成功立项2021年度自治区中小学思政创新研究项目。组建了2支教学团队参加自治区教学能力大赛，一名教师参加州直党史知识竞赛获二等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着力加强心理健康教育工作。一是做好个体辅导活动，每周一至周五全天，心理辅导教师全天坐班在心理健康教育中心咨询室，负责接待来访学生。二是加强队伍建设，构建学生心理健康教育联动机制。积极与校外培训机构对接，外派心理健康教师培训，外派1名心理健康教师赴新疆师范大学开展为期1个月的专业培训，派10名教师参加家庭教育指导师培训学习。组织各二级学院、系部学工处负责人以及班级中存在不同程度心理问题学生的班主任参观心理咨询室并召开心理健康教育工作会议，倾力构建学生心理健康教育联动机制。三是继续做好学生的“润心、暖心”工作。联合教育学院对赴扬州的104名大专班学生开展心理健康测评工作。四是探索形式多样的心育活动，营造健康育人心理环境。利用网络、社会主要事件，对师生做好心理健康教育宣传工作，帮助师生了解自身健康状况，帮助班主任重视学生心理健康教育。通过线上线下相结合的方式面向师生开展心理健康宣讲活动，完成《给心灵一片晴空 让生命绽放阳光》等8场宣讲，面对师生群体、轻度抑郁学生群体、班级群体开展了4场系列团体辅导活动。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霍尔果斯中等职业技术学校部门单位整体绩效目标共设置一级指标3个，二级指标6个，三级指标18个，详细说明如下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指标1：保障在职人员人数，指标值：=103人，实际完成值：101人 ，指标完成率98.06%；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指标2：享受免住宿免教材费人数，指标值：=4232人，实际完成值：4232人，指标完成率100.00%；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指标3：隐形债务还款单位，指标值：=8家，实际完成值：8家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指标4：归还债券本金及利息次数，指标值：=1次，实际完成值：1次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指标1：享受免住宿费免教材学生覆盖率，指标值：=100.00%，实际完成值：100.00%，指标完成率100.00%；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指标2：工资及公用经费保障率，指标值：=100.00%，实际完成值：100.00%，指标完成率100.00%；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指标3：债务本息控制率，指标值：&lt;=100%，实际完成值：100%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指标1：还本付息及时率，指标值：=100.00%，实际完成值：100.00%，指标完成率100.00%；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指标2：资金发放及时性，指标值：=100.00%，实际完成值：100.00%，指标完成率100.00%；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指标3：补助发放及时率，指标值：=100%，实际完成值：100%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指标4：隐性债务还款及时率，指标值：=100%，实际完成值：100%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指标1：人均支出标准，指标值：≤10.66万元，实际完成值：10.42万元，指标完成率97.75%；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 ，指标值：≤8.57万元，实际完成值：8.63万元，指标完成率0.00%；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指标3：享受免住宿免教材费人均成本，指标值：=0.09万元，实际完成值：0.09万元，指标完成率100.00%；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指标1：提高学生就业率，指标值：有效提高，实际完成值：有效提高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指标2：减免减轻学生家庭负担，指标值：效果显著，实际完成值：效果显著，指标完成率100.00%；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指标1：学生的满意度，指标值：≤90% ，实际完成值：95.28%，指标完成率105.87%；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指标2：职工的满意度，指标值：≤90% ，实际完成值：100.00%，指标完成率111.11%；</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1.对于目标设定需要分科室部门分解，汇总后制定整体目标。目标设定后如何科学设定考核评价标准，特别是对于不能量化的目标如何评价。</w:t>
      </w:r>
      <w:r>
        <w:rPr>
          <w:rFonts w:hint="eastAsia" w:ascii="仿宋_GB2312" w:hAnsi="宋体" w:eastAsia="仿宋_GB2312"/>
          <w:b/>
          <w:sz w:val="32"/>
          <w:szCs w:val="32"/>
        </w:rPr>
        <w:br w:type="textWrapping"/>
      </w:r>
      <w:r>
        <w:rPr>
          <w:rFonts w:hint="eastAsia" w:ascii="仿宋_GB2312" w:hAnsi="宋体" w:eastAsia="仿宋_GB2312"/>
          <w:b/>
          <w:sz w:val="32"/>
          <w:szCs w:val="32"/>
        </w:rPr>
        <w:t>2.业务工作分项需更加清晰，不能很好的对比支出与成果，投入与产出效果，进而很难有针对性的发现问题，分析问题，提出解决方案。</w:t>
      </w:r>
      <w:r>
        <w:rPr>
          <w:rFonts w:hint="eastAsia" w:ascii="仿宋_GB2312" w:hAnsi="宋体" w:eastAsia="仿宋_GB2312"/>
          <w:b/>
          <w:sz w:val="32"/>
          <w:szCs w:val="32"/>
        </w:rPr>
        <w:br w:type="textWrapping"/>
      </w:r>
      <w:r>
        <w:rPr>
          <w:rFonts w:hint="eastAsia" w:ascii="仿宋_GB2312" w:hAnsi="宋体" w:eastAsia="仿宋_GB2312"/>
          <w:b/>
          <w:sz w:val="32"/>
          <w:szCs w:val="32"/>
        </w:rPr>
        <w:t>3.财务管理方面，会计核算还不够细致，对于有些能够细分的工作，未能详细分类核算，绩效评价基础数据不够精准。</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1.学习如何科学合理制定绩效目标及考核体系，充分发挥绩效工作效用。</w:t>
      </w:r>
      <w:r>
        <w:rPr>
          <w:rFonts w:hint="eastAsia" w:ascii="仿宋_GB2312" w:hAnsi="宋体" w:eastAsia="仿宋_GB2312"/>
          <w:b/>
          <w:sz w:val="32"/>
          <w:szCs w:val="32"/>
        </w:rPr>
        <w:br w:type="textWrapping"/>
      </w:r>
      <w:r>
        <w:rPr>
          <w:rFonts w:hint="eastAsia" w:ascii="仿宋_GB2312" w:hAnsi="宋体" w:eastAsia="仿宋_GB2312"/>
          <w:b/>
          <w:sz w:val="32"/>
          <w:szCs w:val="32"/>
        </w:rPr>
        <w:t>2.对于能细分、归总的业务工作，效仿专项支出进行管理，以便更好的进行绩效评价，发现不足，提出改进。</w:t>
      </w:r>
      <w:r>
        <w:rPr>
          <w:rFonts w:hint="eastAsia" w:ascii="仿宋_GB2312" w:hAnsi="宋体" w:eastAsia="仿宋_GB2312"/>
          <w:b/>
          <w:sz w:val="32"/>
          <w:szCs w:val="32"/>
        </w:rPr>
        <w:br w:type="textWrapping"/>
      </w:r>
      <w:r>
        <w:rPr>
          <w:rFonts w:hint="eastAsia" w:ascii="仿宋_GB2312" w:hAnsi="宋体" w:eastAsia="仿宋_GB2312"/>
          <w:b/>
          <w:sz w:val="32"/>
          <w:szCs w:val="32"/>
        </w:rPr>
        <w:t>3.财务上，会计核算要更加详细，为本单位各项工作的开展、总结、评估提供有效数据资料支撑，为各项业务工作更好的开展提供帮助。</w:t>
      </w:r>
      <w:r>
        <w:rPr>
          <w:rFonts w:hint="eastAsia" w:ascii="仿宋_GB2312" w:hAnsi="宋体" w:eastAsia="仿宋_GB2312"/>
          <w:b/>
          <w:sz w:val="32"/>
          <w:szCs w:val="32"/>
        </w:rPr>
        <w:br w:type="textWrapping"/>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1、选取切实可行、操作性较强的考核指标，建立考核指标的标准模板。</w:t>
      </w:r>
      <w:r>
        <w:rPr>
          <w:rFonts w:hint="eastAsia" w:ascii="仿宋_GB2312" w:hAnsi="宋体" w:eastAsia="仿宋_GB2312"/>
          <w:b/>
          <w:sz w:val="32"/>
          <w:szCs w:val="32"/>
        </w:rPr>
        <w:br w:type="textWrapping"/>
      </w:r>
      <w:r>
        <w:rPr>
          <w:rFonts w:hint="eastAsia" w:ascii="仿宋_GB2312" w:hAnsi="宋体" w:eastAsia="仿宋_GB2312"/>
          <w:b/>
          <w:sz w:val="32"/>
          <w:szCs w:val="32"/>
        </w:rPr>
        <w:t>2、加强资金使用部门对绩效评价工作的认识和重视程度，并将评价结果运用于工作始终。</w:t>
      </w:r>
      <w:r>
        <w:rPr>
          <w:rFonts w:hint="eastAsia" w:ascii="仿宋_GB2312" w:hAnsi="宋体" w:eastAsia="仿宋_GB2312"/>
          <w:b/>
          <w:sz w:val="32"/>
          <w:szCs w:val="32"/>
        </w:rPr>
        <w:br w:type="textWrapping"/>
      </w:r>
      <w:r>
        <w:rPr>
          <w:rFonts w:hint="eastAsia" w:ascii="仿宋_GB2312" w:hAnsi="宋体" w:eastAsia="仿宋_GB2312"/>
          <w:b/>
          <w:sz w:val="32"/>
          <w:szCs w:val="32"/>
        </w:rPr>
        <w:t>3、根据整体绩效实施计划，制定出科学合理的资金使用计划，不断提高资金使用效率。</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64335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12666</Words>
  <Characters>13653</Characters>
  <Lines>2</Lines>
  <Paragraphs>1</Paragraphs>
  <TotalTime>12</TotalTime>
  <ScaleCrop>false</ScaleCrop>
  <LinksUpToDate>false</LinksUpToDate>
  <CharactersWithSpaces>13715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2025-05-27T11:34:47Z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6960275376AE4E39935A28EF77A6A114_12</vt:lpwstr>
  </property>
</Properties>
</file>