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3F6C5">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14:paraId="45C17A44">
      <w:pPr>
        <w:spacing w:line="540" w:lineRule="exact"/>
        <w:jc w:val="center"/>
        <w:rPr>
          <w:rFonts w:ascii="方正小标宋_GBK" w:hAnsi="华文中宋" w:eastAsia="方正小标宋_GBK" w:cs="宋体"/>
          <w:b/>
          <w:kern w:val="0"/>
          <w:sz w:val="48"/>
          <w:szCs w:val="48"/>
        </w:rPr>
      </w:pPr>
    </w:p>
    <w:p w14:paraId="65223BF1">
      <w:pPr>
        <w:spacing w:line="540" w:lineRule="exact"/>
        <w:jc w:val="center"/>
        <w:rPr>
          <w:rFonts w:ascii="方正小标宋_GBK" w:hAnsi="华文中宋" w:eastAsia="方正小标宋_GBK" w:cs="宋体"/>
          <w:b/>
          <w:kern w:val="0"/>
          <w:sz w:val="48"/>
          <w:szCs w:val="48"/>
        </w:rPr>
      </w:pPr>
    </w:p>
    <w:p w14:paraId="66C86730">
      <w:pPr>
        <w:spacing w:line="540" w:lineRule="exact"/>
        <w:jc w:val="center"/>
        <w:rPr>
          <w:rFonts w:ascii="方正小标宋_GBK" w:hAnsi="华文中宋" w:eastAsia="方正小标宋_GBK" w:cs="宋体"/>
          <w:b/>
          <w:kern w:val="0"/>
          <w:sz w:val="48"/>
          <w:szCs w:val="48"/>
        </w:rPr>
      </w:pPr>
    </w:p>
    <w:p w14:paraId="38089C8D">
      <w:pPr>
        <w:spacing w:line="540" w:lineRule="exact"/>
        <w:jc w:val="center"/>
        <w:rPr>
          <w:rFonts w:ascii="方正小标宋_GBK" w:hAnsi="华文中宋" w:eastAsia="方正小标宋_GBK" w:cs="宋体"/>
          <w:b/>
          <w:kern w:val="0"/>
          <w:sz w:val="48"/>
          <w:szCs w:val="48"/>
        </w:rPr>
      </w:pPr>
    </w:p>
    <w:p w14:paraId="5B3BF29E">
      <w:pPr>
        <w:spacing w:line="540" w:lineRule="exact"/>
        <w:jc w:val="center"/>
        <w:rPr>
          <w:rFonts w:ascii="方正小标宋_GBK" w:hAnsi="华文中宋" w:eastAsia="方正小标宋_GBK" w:cs="宋体"/>
          <w:b/>
          <w:kern w:val="0"/>
          <w:sz w:val="48"/>
          <w:szCs w:val="48"/>
        </w:rPr>
      </w:pPr>
    </w:p>
    <w:p w14:paraId="687F0D69">
      <w:pPr>
        <w:spacing w:line="540" w:lineRule="exact"/>
        <w:jc w:val="center"/>
        <w:rPr>
          <w:rFonts w:ascii="方正小标宋_GBK" w:hAnsi="华文中宋" w:eastAsia="方正小标宋_GBK" w:cs="宋体"/>
          <w:b/>
          <w:kern w:val="0"/>
          <w:sz w:val="48"/>
          <w:szCs w:val="48"/>
        </w:rPr>
      </w:pPr>
    </w:p>
    <w:p w14:paraId="6928BEEB">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33C36648">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0FD6F8D3">
      <w:pPr>
        <w:spacing w:line="540" w:lineRule="exact"/>
        <w:jc w:val="center"/>
        <w:rPr>
          <w:rFonts w:ascii="华文中宋" w:hAnsi="华文中宋" w:eastAsia="华文中宋" w:cs="宋体"/>
          <w:b/>
          <w:kern w:val="0"/>
          <w:sz w:val="52"/>
          <w:szCs w:val="52"/>
        </w:rPr>
      </w:pPr>
    </w:p>
    <w:p w14:paraId="098147A5">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16E898F5">
      <w:pPr>
        <w:spacing w:line="540" w:lineRule="exact"/>
        <w:jc w:val="center"/>
        <w:rPr>
          <w:rFonts w:hAnsi="宋体" w:eastAsia="仿宋_GB2312" w:cs="宋体"/>
          <w:kern w:val="0"/>
          <w:sz w:val="30"/>
          <w:szCs w:val="30"/>
        </w:rPr>
      </w:pPr>
    </w:p>
    <w:p w14:paraId="0995095E">
      <w:pPr>
        <w:spacing w:line="540" w:lineRule="exact"/>
        <w:jc w:val="center"/>
        <w:rPr>
          <w:rFonts w:hAnsi="宋体" w:eastAsia="仿宋_GB2312" w:cs="宋体"/>
          <w:kern w:val="0"/>
          <w:sz w:val="30"/>
          <w:szCs w:val="30"/>
        </w:rPr>
      </w:pPr>
    </w:p>
    <w:p w14:paraId="7EE6B5F1">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4A3354D0">
      <w:pPr>
        <w:spacing w:line="540" w:lineRule="exact"/>
        <w:jc w:val="center"/>
        <w:rPr>
          <w:rFonts w:hAnsi="宋体" w:eastAsia="仿宋_GB2312" w:cs="宋体"/>
          <w:kern w:val="0"/>
          <w:sz w:val="30"/>
          <w:szCs w:val="30"/>
        </w:rPr>
      </w:pPr>
    </w:p>
    <w:p w14:paraId="1F530140">
      <w:pPr>
        <w:spacing w:line="540" w:lineRule="exact"/>
        <w:jc w:val="center"/>
        <w:rPr>
          <w:rFonts w:hAnsi="宋体" w:eastAsia="仿宋_GB2312" w:cs="宋体"/>
          <w:kern w:val="0"/>
          <w:sz w:val="30"/>
          <w:szCs w:val="30"/>
        </w:rPr>
      </w:pPr>
    </w:p>
    <w:p w14:paraId="56078141">
      <w:pPr>
        <w:spacing w:line="540" w:lineRule="exact"/>
        <w:jc w:val="center"/>
        <w:rPr>
          <w:rFonts w:hAnsi="宋体" w:eastAsia="仿宋_GB2312" w:cs="宋体"/>
          <w:kern w:val="0"/>
          <w:sz w:val="30"/>
          <w:szCs w:val="30"/>
        </w:rPr>
      </w:pPr>
    </w:p>
    <w:p w14:paraId="5E0B54FD">
      <w:pPr>
        <w:spacing w:line="540" w:lineRule="exact"/>
        <w:rPr>
          <w:rFonts w:hAnsi="宋体" w:eastAsia="仿宋_GB2312" w:cs="宋体"/>
          <w:kern w:val="0"/>
          <w:sz w:val="30"/>
          <w:szCs w:val="30"/>
        </w:rPr>
      </w:pPr>
    </w:p>
    <w:p w14:paraId="49BFF2E9">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14DC5DB">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00E5EE0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74D3441D">
      <w:pPr>
        <w:spacing w:line="700" w:lineRule="exact"/>
        <w:jc w:val="left"/>
        <w:rPr>
          <w:rFonts w:hAnsi="宋体" w:eastAsia="仿宋_GB2312" w:cs="宋体"/>
          <w:kern w:val="0"/>
          <w:sz w:val="36"/>
          <w:szCs w:val="36"/>
        </w:rPr>
      </w:pPr>
    </w:p>
    <w:p w14:paraId="654C66A1">
      <w:pPr>
        <w:spacing w:line="700" w:lineRule="exact"/>
        <w:jc w:val="left"/>
        <w:rPr>
          <w:rFonts w:hAnsi="宋体" w:eastAsia="仿宋_GB2312" w:cs="宋体"/>
          <w:kern w:val="0"/>
          <w:sz w:val="36"/>
          <w:szCs w:val="36"/>
        </w:rPr>
      </w:pPr>
    </w:p>
    <w:p w14:paraId="362FF5F2">
      <w:pPr>
        <w:spacing w:line="700" w:lineRule="exact"/>
        <w:jc w:val="left"/>
        <w:rPr>
          <w:rFonts w:hAnsi="宋体" w:eastAsia="仿宋_GB2312" w:cs="宋体"/>
          <w:kern w:val="0"/>
          <w:sz w:val="36"/>
          <w:szCs w:val="36"/>
        </w:rPr>
      </w:pPr>
    </w:p>
    <w:p w14:paraId="039130CA">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02DD794F">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（1）审判法律规定由州分院管辖，自治区高级人民法院指定管辖或者认为应当由自己审判的刑事、民事和行政等第一审案件。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（2）审判法律规定由州分院审理的刑事、民事、行政等第二审案件以及自治区高级人民法院指定审理的案件。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（3）审理自治区高级人民法院授权核准的死缓案件。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审理自治区高级人民法院指令再审的案件；审理本院发生法律效力的判决、裁定提起再审的案件；受理不服下级人民法院判决、裁定提起再审的案件；受理不服下级人民法院判决、裁定的各类申诉和申请再审的案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（5）审判由自治州人民检察院按照审判监督程序提出的抗诉案件。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（6）对下级人民法院管辖不服的案件指定管辖。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（7）监督自治州地方各级人民法院的审判工作。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（8）办理法律规定由州法院管辖的、自治区高级人民法院指定管辖的减刑、假释案件。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（9）依法行使司法执行权和司法决定权。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（10）依法决定国家赔偿。</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（11）对法律、法规、规章等草案提出意见，研究拟定自治州法院工作的政策、规章制度；针对案件审理中发现的问题提出司法建议。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（12）开展法院司法科学技术研究工作，提供司法技术信息和技术鉴定服务。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（13）负责自治州哈萨克民族文字审判业务资料编译工作。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14）指导全州各级人民法院的思想政治、宣传教育和培训工作；协同自治州党委主管部门加强辖区内各级人民法院领导班子和队伍建设；按照权限管理法官和其他工作人员；协同自治州主管部门管理自治州各级人民的机构设置及人员编制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(15)领导州直法院的监察工作。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(16)在审判工作中宣传法制、教育公民自觉遵守宪法、法律。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(17)管理全州人民法院的有关经费和物资装备。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(18)承办其他应由自治州法院负责的工作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2、机构人员构成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伊犁州法院无下属预算单位，下设17个处室，分别是：办公室、立案一庭、立案二庭、刑事一庭、刑事二庭、民事一庭、民事二庭、民事三庭、行政庭、审监庭、执行局、研究室、法警队、技术室、监察室、培训处、老干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（2）2021年新疆维吾尔自治区高级人民法院伊犁哈萨克自治州分院实有在职人员为179人，其中：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行政在职179人（上年184人），同比上年减少5人；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实有退休人员161人（上年157人）,同比上年增加4人。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3、重点工作计划</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中央转移支付项目计划投入资金834.00万元，实现了在自治州党委坚强领导下，坚持以习近平新时代中国特色社会主义思想为指导，增强“四个意识”、坚定“四个自信”、做到“两个维护”，全面准确贯彻落实新时代党的治疆方略，深入学习贯彻党的十九届六中全会，第三次中央新疆工作座谈会、自治区第十次党代会和自治区党委十届二次全体会议精神，紧紧围绕“努力让人民群众在每一个司法案件中感受到公平正义”目标，忠实履行宪法和法律赋予的神圣职责使命，抓党建带队建促审判，推动各项工作高质量发展不断取得新成效，审结各类案件79567件，结案率达94.65%，政治建设和审判执行综合考核成绩始终位列全区法院前列，先后荣获扫黑除恶、维护农民工合法权益、基层法院党组织组织力提升工程、普法工作、“巾帼文明岗”等5项国家级先进集体、荣誉称号和自治区先进基层党组织等殊荣，为伊犁经济社会高质量开展提供了坚强的法律保障和优质的司法服务，人民群众的司法安全感、幸福感、获得感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2021年我部门（单位）全年预算数为7167.50万元，其中：年初批复的财政拨款为5194.94万元，年中追加资金1972.56万元，调整率37.97%。对比上年7331.00万元减少163.50万元，下降2.23%。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2021年实际决算支出6815.77万元，执行率95.09%，其中：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3890.97万元，占总支出的57.09％，主要用于本单位机构正常运转、完成日常工作任务而发生的各项支出。其中：工资福利支出3325.23万元，主要用于在职和离退休人员基本工资、津贴补贴等人员经费。商品和服务支出481.11万元，主要用于办公费、印刷费、水电费、办公设备购置等。对个人和家庭的补助84.63万元，主要用于退休人员统筹外退休补助、遗属生活补助、抚恤金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支出2924.80万元，占总支出的42.91％。其中：解决州法院档案数字化服务项目安排76.33万元，主要用于完成档案数字化录入工作;伊犁州法院工作日之外加班补贴项目安排75.46万元，主要用于完成干警工作日之外加班补贴;伊犁州法院聘用人员项目安排727.03万元，主要用于完成伊犁州法院聘用人员待遇保障;州法院审判庭迁建项目安排253.36万元，主要用于完成审判庭迁建项目债务偿还;州法院诉讼退费安排350万元，主要用于贯彻执行“司法为民”理念，落实中央关于“群众利益无小事”的指示精神，及时办理诉讼费退费业务;州法院诉讼退费安排450万元，主要用于贯彻执行“司法为民”理念，落实中央关于“群众利益无小事”的指示精神，及时办理诉讼费退费业务;州法院诉讼退费安排393.49万元，主要用于贯彻执行“司法为民”理念，落实中央关于“群众利益无小事”的指示精神，及时办理诉讼费退费业务;中央转移支付项目资金办案业务及法院装备业务584.13万元，主要用于完成所有与法院办理案件直接相关的办案支出、装备购置；司法救助项目安排总计15万元，主要用于解决因被告无偿还能力导致案件当事人依法得不到有效赔偿，生活陷入困难等问题；中央和自治区政法纪检监察转移支付绩效奖励资金项目支出0万元，主要用于中央政法转移支付办案业务、装备业务费用支出；特殊疑难信访项目支出0万元，主要用于解决特殊疑难信访当事人费用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本年度重点项目支出2773.01万元，重点支出保障率94.81%。其中重点保障项目是伊犁州法院聘用人员项目、审判庭迁建项目、聘用人员待遇保障、诉讼退费、中央转移支付项目，主要用于完成伊犁州法院聘用人员待遇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（4）本年度我单位全年政府采购预算242.58万元,实际用于政府采购金额242.58万元，采购执行率100.00%。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我院整体支出绩效自评采用比较法,原因是：结合以往工作经验及绩效评价的目标要求能较好的掌握资金的使用效益,通过绩效目标与具体实施情况比较能够更清晰的比较差异。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涉及对象：本次评价对象是新疆维吾尔自治区高级人民法院伊犁哈萨克自治州分院所有财政资金支出活动。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整体支出评价范围：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①基本支出3911.17万元，其中：工资福利支出、商品和服务支出、对个人和家庭的补助支出。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项目支出3256.33万元：解决州法院档案数字化服务项目，伊犁州法院工作日之外加班补贴项目，伊犁州法院聘用人员项目，州法院审判庭迁建项目，州法院诉讼退费（350万元），州法院诉讼退费（450万元），州法院诉讼退费（400万元），中央转移支付项目资金办案业务及装备业务，司法救助项目，中央和自治区政法纪检监察转移支付绩效奖励资金项目，特殊疑难信访项目。</w:t>
      </w:r>
      <w:bookmarkStart w:id="0" w:name="_Hlk43849111"/>
      <w:bookmarkEnd w:id="0"/>
    </w:p>
    <w:p w14:paraId="7D9DD4E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74E501C5">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财政部门的要求，部门预算及绩效目标在州政府网站公开，广泛接受社会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2、预算支出管理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法院《专项资金管理办法》相关规定和规定流程，资金支出按照我内控体系中设定的流程申报审批进行；项目支出属于政府采购的，按照局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预算安排3911.17万元，实际到位3911.17万元,实际支出3890.97万元，占总支出的57.09％，其中：工资福利支出3325.23万元、商品和服务支出481.11万元、对个人和家庭的补助84.63万元。工资福利支出主要用于在职工资、津贴补贴等人员经费；商品和服务支出主要用于办公费、印刷费、水电费、办公设备购置等；对个人和家庭的补助主要用于退休人员统筹外退休补助、遗属生活补助、抚恤金等。资本性支出0.00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2021年基本支出比上年5715.12万元,减少1824.15万元，下降31.92%，支出减少的主要原因是2020年伊犁州法院聘用人员项目经费列入在基本支出中，2021年该费用在项目支出中列支。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2021年一般公共预算“三公”经费数为105.59万元，其中：因公出国（境）费0.00万元，公务用车购置63.46万元，公务用车运行费40.25万元，公务接待费1.88万元。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一般公共预算“三公”经费比上年增加17.27万元，其中：因公出国（境）费增加0.00万元，主要原因是本年度与上年度均未安排资金支出；公务用车购置费增加63.46万元，主要原因是本年新购置3辆车；公务用车运行费减少45.89万元，主要原因是本年严格执行中央八项规定和厉行节约、控制车辆运行成本，在2021年年初按车辆编制数核定公务用车运行费，并严格按照规定执行；公务接待费减少0.30万元，主要原因是我院严格执行中央八项规定并减少接待次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2021年预算安排专项资金3256.33万元，实际到位3256.33万元, 到位率100.00％,其中:中央转移支付项目资金834万元，自治区资金   0.00万元，本级安排2422.33万元。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专项资金支出2924.80万元，占总支出的42.91%，其中2021年专项项目支出比上年110.22万元增加2814.58万元，上升2553.60%。支出上升的主要原因是本年按照机关事务管理局的批复安排购置3辆车。其中：解决州法院档案数字化服务项目安排76.33万元，主要用于完成档案数字化录入工作；伊犁州法院工作日之外加班补贴项目安排75.46万元，主要用于完成干警工作日之外加班补贴；伊犁州法院聘用人员项目安排727.03万元，主要用于完成伊犁州法院聘用人员待遇保障；州法院审判庭迁建项目安排253.36万元，主要用于完成审判庭迁建项目债务偿还；州法院诉讼退费安排350万元，主要用于贯彻执行“司法为民”理念，落实中央关于“群众利益无小事”的指示精神，及时办理诉讼费退费业务；州法院诉讼退费安排450万元，主要用于贯彻执行“司法为民”理念，落实中央关于“群众利益无小事”的指示精神，及时办理诉讼费退费业务；州法院诉讼退费安排393.49万元，主要用于贯彻执行“司法为民”理念，落实中央关于“群众利益无小事”的指示精神，及时办理诉讼费退费业务；中央转移支付项目资金办案业务及装备业务584.13万元，主要用于完成所有与法院办理案件直接相关的办案支出、装备购置；司法救助项目安排总计15万元，主要用于解决因被告无偿还能力导致案件当事人依法得不到有效赔偿，生活陷入困难等问题；中央和自治区政法纪检监察转移支付绩效奖励资金项目支出0万元，主要用于中央政法转移支付办案业务、装备业务费用支出；特殊疑难信访项目支出0万元，主要用于解决特殊疑难信访当事人费用支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人民法院业务经费开支范围》，中央政法转移支付资金项目资金管理办法，对下达的中央政法转移支付资金在使用上做到专款专用；业务装备经费结合业务装备配备标准和年度实施计划合理配置使用，并严格按照政府采购程序开展，认真做好业务装备使用管理、闲置调剂、报废处置等管理工作，防止资产流失，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（2）建立中央政法转移支付资金专项资金专帐，做到有据可依，有据可查。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（3）制订了中央政法转移支付资金项目实施方案，确保项目规范顺利实施。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（4）认真组织中央政法转移支付资金项目验收，确保提供项目补助资金的使用效益，提升项目服务水平。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专项资金涉及政府采购项目的，按照《业务装备采购与招标管理办法》组织人员制定采购计划，按照财政局采购部门批复，进行公开招标、邀请招标等方式进行。</w:t>
      </w:r>
    </w:p>
    <w:p w14:paraId="1C234190">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093E27DC">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年初我单位下发的中央政法转移支付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涉及专项资金3256.33万元，实际到位3256.33万元，资金到位率100.00%。截止到2021年12月31日执行2924.80万元，执行率89.82%。其中：2021年结转专项资金0.00万元，实际执行0.00万元，执行率为0.00%；2021年新增专项资金3256.33万元，实际执行2924.80万元，执行率为89.82%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严格执行新财行[2020]234号、新财行[2021]66号《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1、组织情况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疆维吾尔自治区高级人民法院伊犁哈萨克自治州分院，根据2021年11个项目的绩效目标及工作内容，将其细化分工至本单位5个处室，加强组织领导，明确分工，各司其职，抓好工作目标任务的落实完成，同时年中要求各处室按照年初预算对本处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疆维吾尔自治区高级人民法院伊犁哈萨克自治州分院，实施的11个项目，由相关业务处室指派专人进行全过程跟踪管理，处室负责人统筹推进项目实施，部门领导不定期对项目进度进行调度，并对项目质量进行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3、监管情况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办公室、技术室、审监庭、法警队、技术室从项目实施方案、项目预算、项目建设进度、项目成本、项目验收等环节，全过程对项目进行监管，并向本部门主要领导报告，以推进项目建设和提高项目质量，以发挥资金使用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(四)绩效情况分析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1、成本控制情况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疆维吾尔自治区高级人民法院伊犁哈萨克自治州分院，所涉及专项项目均已于专项资金下达后按照资金文件及绩效管理要求设置《项目绩效目标表》。11个专项项目预算总额为3256.33万元，在项目实施过程中，业务人员加强项目管理，合理控制项目成本，截止项目结束，11个项目总成本为2924.80万元，不存在超支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2、成本节约情况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新疆维吾尔自治区高级人民法院伊犁哈萨克自治州分院，所涉及专项项目使用资金比专项项目总预算减少211.87万元，项目节约率为26.12%。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2021年新疆维吾尔自治区高级人民法院伊犁哈萨克自治州分院共涉及专项项目11个，截止到2021年底，通过专项项目实施过程中的有效监督，我单位按预期完成了11个专项的各项专项任务，项目总体完成率为80.25%。</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2、完成质量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11个专项项目完成质量情况如下：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中央政法转移支付办案业务项目总计687万元，中央政法转移支付资金项目主要用于办案经费和装备经费，要严格按照《人民法院业务经费开支范围》执行，对下达的中央政法转移支付资金在使用上做到专款专用；中央政法转移支付装备业务项目总计109万元，结合业务装备配备标准和年度实施计划合理配置使用，并严格按照政府采购程序开展，认真做好业务装备使用管理、闲置调剂、报废处置等管理工作，防止资产流失。中央政法转移支付办案业务及装备项目2021年已完成73.38%。</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②司法救助项目安排总计15万元，主要用于解决因被告无偿还能力导致案件当事人依法得不到有效赔偿，生活陷入困难等问题，已完成100%。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③中央和自治区政法纪检监察转移支付绩效奖励资金项目总计10万元，主要用于中央政法转移支付办案业务、装备业务费用支出，2021年已支付0万元，已完成0%。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④特殊疑难信访项目总计13万元，主要用于解决特殊疑难信访当事人费用支出，2021年已支付0万元，已完成0%。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⑤伊犁州法院档案数字化工作项目总计76.33万元，主要用于完成档案数字化录入工作，2021年已支付76.33万元，已完成100%。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⑥伊犁州法院工作日之外加班补贴项目安排75.46万元，主要用于完成干警工作日之外加班补贴，2021年已支付75.46万元，已完成100%。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⑦伊犁州法院聘用人员项目安排817.19万元，主要用于完成伊犁州法院聘用人员待遇保障，2021年已支付727.03万元，已完成88.97%。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⑧州法院审判庭迁建项目安排253.36万元，主要用于完成审判庭迁建项目债务偿还，2021年已支付253.36万元，已完成100%。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⑨州法院诉讼退费安排350万元，主要用于贯彻执行“司法为民”理念，落实中央关于“群众利益无小事”的指示精神，及时办理诉讼费退费业务，2021年已支付350万元，已完成100%。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⑩州法院诉讼退费安排450万元，主要用于贯彻执行“司法为民”理念，落实中央关于“群众利益无小事”的指示精神，及时办理诉讼费退费业务，2021年已支付450万元，已完成100%。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？州法院诉讼退费安排4000万元，主要用于贯彻执行“司法为民”理念，落实中央关于“群众利益无小事”的指示精神，及时办理诉讼费退费业务，2021年已支付393.49万元，已完成98.37%。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(六)项目效益性分析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11个专项项目预期目标完成程度、实施对经济和社会的影响如下：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中央政法转移支付办案业务及装备项目，紧紧围绕“努力让人民群众在每一个司法案件中感受到公平正义”目标，忠实履行宪法和法律赋予的神圣职责使命，抓党建带队建促审判，推动各项工作高质量发展不断取得新成效，业务装备工作的有力推进，大幅提升了人民法院装备工作的标准化、规范化、科技化水平，提高工作效率，智慧法院建设迈上新台阶，为进一步加强审判管理，强化审判监督，落实审判责任，提升审判质效，推进司法公开，审结各类案件79567件，结案率达94.65%，政治建设和审判执行综合考核成绩始终位列全区法院前列，先后荣获扫黑除恶、维护农民工合法权益、基层法院党组织组织力提升工程、普法工作、“巾帼文明岗”等5项国家级先进集体、荣誉称号和自治区先进基层党组织等殊荣，为伊犁经济社会高质量开展提供了坚强的法律保障和优质的司法服务，人民群众的司法安全感、幸福感、获得感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司法救助项目按照相关法律政策规定，严格贯彻执行“服务大局，公正司法、司法为民”理念，落实中央关于“群众利益无小事”的指示精神，及时办理司法救助业务，切实为群众排忧解难，助力困难群众的合法权益得到实现，让人民群众在每一个司法案件中都能够感受到公平正义，人民群众的司法安全感、幸福感、获得感以及对法院工作的满意度的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中央和自治区政法纪检监察转移支付绩效奖励资金，有效激发了全院干警的向心力、凝聚力、战斗力、创造力，形成了凝心聚力、干事创业、争创一流，多办案、快办案、办好案的强大工作合力，单位工作效率有了很大的提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特殊疑难信访项目，彻底解决群众“急难愁盼”问题，人民群众合法权益得到全面保障，有效避免了因疑难问题引发上访、信访、群体访等影响社会稳定的案（事）件发生，有利促进了平安伊犁建设，彰显了诚信政府的良好形象，推动了社会诚信体系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⑤伊犁州法院档案数字化工作项目有力推进，大幅提升了人民法院档案工作的制度化、标准化、规范化、科技化水平，降低行政成本，提高工作效率，开辟了档案工作新局面，智慧法院建设迈上新台阶，为进一步加强审判管理，强化审判监督，落实审判责任，提升审判质效，推进司法公开，确保公正廉洁打下了基础提供了保障。同时也为方便诉讼当事人、律师及社会各机关企事业单位等社会各界查阅案卷提供了更加方便快捷的档案服务，确保了档案工作的连续性、完整性、严肃性、准确性，档案工作的使用价值、社会价值、历史价值得到了充分的运用和发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⑥伊犁州法院工作日之外加班补贴项目是伊犁州法院落实从优待警的具体措施，充分彰显了党组织对干警的人为关怀，有效激发了全院干警的向心力、凝聚力、战斗力、创造力，形成了凝心聚力、干事创业、争创一流，多办案、快办案、办好案的强大工作合力，法院以审判执行为中心的各项工作高质量发展不断取得新成效，围绕服务大局，公正司法、司法为民的职能作用进一步凸显，为伊犁经济社会高质量开展提供了坚强的司法保障和优质的司法服务，人民群众的司法安全感、幸福感、获得感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⑦伊犁州法院聘用人员项目能够按时落实聘用书记员工资等政治、工作、生活待遇是全面贯彻落实中央司法体制机制改革精神，推动法院队伍分类管理，向社会购买审判服务，推进审判辅助性工作集约化、专业化、扁平化管理的具体要求，是解决法院人案矛盾，提升审判效率的有利措施，充分体现了党委、政府对聘用书记员工作的关心关怀和对法院工作的大力支持，极大的激发了聘用书记员工作的积极性、主动性和创造性，为法院以审判为中心的各项工作高质量开展注入了新鲜血液和强大动力，为确保书记员队伍保持持续稳定、长期稳定提供了坚强的组织制定保障。同时也为大中专院校毕业生提供了更多的就业岗位和人生出彩的机会，有力改善了民生，促进了发展，维护了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⑧州法院审判庭迁建项目及时清偿审判法庭迁建项目欠款，有效缓解了我院办公经费紧缺问题，确保了现有办公经费能够全面有效保障我院以审判执行为中心的各项工作正常运转，有利提升了我院司法为民公正司法的能力和水平，审判执行工作质量效率大幅度提升，让更多的群众享受到了高品质、多元化、低成本、高效益的司法服务，人民群众对法院工作的满意度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⑨州法院诉讼退费（350万元）项目安排符合相关法律政策规定，我院严格贯彻执行“服务大局，公正司法、司法为民”理念，落实中央关于“群众利益无小事”的指示精神，及时办理诉讼费退费业务，切实为群众排忧解难，助力困难群众的合法权益得到实现，让人民群众在每一个司法案件中都能够感受到公平正义，人民群众的司法安全感、幸福感、获得感以及对法院工作的满意度的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⑩州法院诉讼退费（450万元）项目安排符合相关法律政策规定，我院严格贯彻执行“服务大局，公正司法、司法为民”理念，落实中央关于“群众利益无小事”的指示精神，及时办理诉讼费退费业务，切实为群众排忧解难，助力困难群众的合法权益得到实现，让人民群众在每一个司法案件中都能够感受到公平正义，人民群众的司法安全感、幸福感、获得感以及对法院工作的满意度的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州法院诉讼退费（393.49万元）项目安排符合相关法律政策规定，我院严格贯彻执行“服务大局，公正司法、司法为民”理念，落实中央关于“群众利益无小事”的指示精神，及时办理诉讼费退费业务，切实为群众排忧解难，助力困难群众的合法权益得到实现，让人民群众在每一个司法案件中都能够感受到公平正义，人民群众的司法安全感、幸福感、获得感以及对法院工作的满意度的不断提升。</w:t>
      </w:r>
    </w:p>
    <w:p w14:paraId="63903D9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333FF2D1">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（一）资产配置情况</w:t>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资产总额14990.48万元，其中流动资产955.89万元（其中：货币资金17.44万元、其他应收款净额938.46万元），固定资产净值14034.59万元（其中：土地、房屋及构筑物12603.62万元，占固定资产净值的89.80%；通用设备1226.00万元，占固定资产净值的8.74%；专用设备8.86万元，占固定资产净值的0.06%；其他196.10万元，占固定资产净值的1.40%）。</w:t>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本年度流动资产955.89万元，比上年减少1119.94万元，原因是：2021年没有财政应返还额；本年加大清理往来资金账户工作，其他应收款大幅度减少，。</w:t>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本年度固定资产17366.91万元，比上年增加641.42万元，原因是：2021年单位安排购置3辆车，及信息化设备购置。</w:t>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实际在用固定资产17344.58万元，固定资产利用率99.87%。</w:t>
      </w:r>
      <w:r>
        <w:rPr>
          <w:rFonts w:hint="eastAsia" w:ascii="仿宋_GB2312" w:hAnsi="宋体" w:eastAsia="仿宋_GB2312"/>
          <w:b/>
          <w:sz w:val="32"/>
          <w:szCs w:val="32"/>
        </w:rPr>
        <w:br w:type="textWrapping"/>
      </w:r>
      <w:r>
        <w:rPr>
          <w:rFonts w:hint="eastAsia" w:ascii="仿宋_GB2312" w:hAnsi="宋体" w:eastAsia="仿宋_GB2312"/>
          <w:b/>
          <w:sz w:val="32"/>
          <w:szCs w:val="32"/>
        </w:rPr>
        <w:t>（二）资产管理情况</w:t>
      </w:r>
      <w:r>
        <w:rPr>
          <w:rFonts w:hint="eastAsia" w:ascii="仿宋_GB2312" w:hAnsi="宋体" w:eastAsia="仿宋_GB2312"/>
          <w:b/>
          <w:sz w:val="32"/>
          <w:szCs w:val="32"/>
        </w:rPr>
        <w:br w:type="textWrapping"/>
      </w: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r>
        <w:rPr>
          <w:rFonts w:hint="eastAsia" w:ascii="仿宋_GB2312" w:hAnsi="宋体" w:eastAsia="仿宋_GB2312"/>
          <w:b/>
          <w:sz w:val="32"/>
          <w:szCs w:val="32"/>
        </w:rPr>
        <w:br w:type="textWrapping"/>
      </w: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3FE962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56AB9BA2">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2021年度我单位年初预算安排5194.94万元，年中调整1972.56万元，截止12月底支出6815.77万元，执行率95.09%。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（二）效率性评价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在自治州党委的大力支持和自治区高级人民法院的正确领导下，我单位迎难而上、务实重干，积极推动各项司法案件工作取得了新的进展，为促进经济持续健康发展与社会和谐稳定提供了有力的司法支撑和保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1、从严管党治警，圆满完成政法队伍教育整顿工作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制定实施加强党的政治建设、全面落实党对法院工作的绝对领导的18条措施，扎实组织开展党史学习教育，多轮次、全覆盖开展政治轮训，深入学习领会习近平</w:t>
      </w:r>
      <w:r>
        <w:rPr>
          <w:rFonts w:hint="eastAsia" w:ascii="仿宋_GB2312" w:hAnsi="宋体" w:eastAsia="仿宋_GB2312"/>
          <w:b/>
          <w:sz w:val="32"/>
          <w:szCs w:val="32"/>
          <w:lang w:val="en-US" w:eastAsia="zh-CN"/>
        </w:rPr>
        <w:t>总书记</w:t>
      </w:r>
      <w:bookmarkStart w:id="1" w:name="_GoBack"/>
      <w:bookmarkEnd w:id="1"/>
      <w:r>
        <w:rPr>
          <w:rFonts w:hint="eastAsia" w:ascii="仿宋_GB2312" w:hAnsi="宋体" w:eastAsia="仿宋_GB2312"/>
          <w:b/>
          <w:sz w:val="32"/>
          <w:szCs w:val="32"/>
        </w:rPr>
        <w:t>“七一”重要讲话精神，大力弘扬英模精神，涌现出孙杰、陈明坤等一批先进典型和英模人物，有20个集体和51名干警受到自治州及以上表彰；扎实开展“四个一流”模范机关创建活动，打造“当审执无畏尖兵、做天平忠诚卫士”等9个品牌支部，将党建工作“软实力”变公平正义“硬支撑”；把开展“访惠聚”驻村工作与“我为群众办实事”活动相结合，办实事好事1225件，投入资金266.5万元，惠及群众14万人，党组织创造力、战斗力、凝聚力不断增强；坚持“严”的主基调，深入开展“以案释德、以案释纪、以案释法”警示教育，针对巡视反馈问题和司法巡查、审务督察发现的问题，扎实组织开展政法队伍教育整顿，解决了一批影响司法权威和公信力的顽瘴痼疾，推动形成了干事创业、人才辈出、风清气正的良好政治生态。</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2、司法业务技能培训任务提前完成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注重双语法官培养、采取帮带学习、自主培训、外派培训、法官轮训、跟案锻炼、邀请讲师团巡回授课、“三项技能”竞赛等方式培训干警7388人次。开展办案标兵、调解能手、最美法官能评先选优活动，推动形成多办案、快办案、办好案的浓厚氛围。入选最高院《年度案例》全国“百优”裁判文书各1篇，4场庭审、2篇文书在自治区高院“三项技能”大赛获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3、推进司法改革成效显著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紧紧围绕“让人民群众在每一个司法案件中感受到公平正义”目标，忠实履行宪法和法律赋予的神圣职责使命，抓党建带队建促审判，推动各项工作高质量发展不断取得新成效，审结各类案件79567件，结案率达94.65%。深化司法责任制综合配套改革，依法保障人民陪审员履行审判职责，人民陪审员参审案件1057件，陪审率达98%。纵深推进司法公开，裁判文书网上公开2368份，庭审直播2197场，阳光司法机制产生深远影响；大力推进智慧法院建设，疫情期间提供网上立案、网上保全、远程调解等29项线上服务，让当事人足不出户就能参加诉讼，智慧法院建设成果充分显现。2021年在线庭审平均用时30分钟，比线下节约2/3，案件平均审理周期16.6天，比线下缩短1/4，各类案件一审后当事人服判息诉率15.4%，二审后达到26.8%，超一年未结诉讼案件同比下降50%，法官人均办案249件，司法质效、公信力明显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4、便民利民措施落实到位，解纷和诉服体系建设全面达标，群众满意度高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建立一站式多元解纷机制，实现30%速裁法官办理70%以上简易案件的良好效果；建成一站式诉讼服务中心，依托12368诉讼服务热线一号通办功能，让人民群众在全州任何一家法院都能享受标准化、同品质、高效率的诉讼服务；全面加强人民法庭建设，以“一庭一品”“一室一特色”为目标，建成8个“枫桥式”中心法庭，辐射带动18个巡回法庭、124个法官工作站、111个旅游景区法庭，化解民事纠纷45744件，调解成功率达97.41%；构建综源治理大格局，通过人民法院调解平台委派调解案件3万件，专职人民调解员调解案件2.92万元，司法确认案件0.87万件。司法“红利”进一步普惠，人民群众满意度不断提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（三）有效性评价</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部门支出的有效性主要体现在我单位各项工作成效上，一是严打审判效果更加凸显，人民法庭基础进一步夯实；二是干部作风更加优良，队伍革命化、正规化、专业化、职业化水平进一步提升；三是服务发展成效更加明显，人民群众的司法获得感进一步改善；四是民生权益保障更加有力，人民群众的幸福感进一步提高；五是高质量发展更加强劲，提升审判执行质效和司法公信力进一步推进，六是司法“红利”更加普惠，人民群众的满意度进一步增强。详细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今年，在自治州党委坚强领导下，州直法院坚持以习近平新时代中国特色社会主义思想为指导，增强“四个意识”、坚定“四个自信”、做到“两个维护”，全面准确贯彻落实新时代党的治疆方略，深入学习贯彻党的十九届六中全会，第三次中央新疆工作座谈会、自治区第十次党代会和自治区党委十届二次全体会议精神，紧紧围绕“努力让人民群众在每一个司法案件中感受到公平正义”目标，忠实履行宪法和法律赋予的神圣职责使命，抓党建带队建促审判，推动各项工作高质量发展不断取得新成效，审结各类案件79567件，结案率达94.65%，政治建设和审判执行综合考核成绩始终位列全区法院前列，先后荣获扫黑除恶、维护农民工合法权益、基层法院党组织组织力提升工程、普法工作、“巾帼文明岗”等5项国家级先进集体、荣誉称号和自治区先进基层党组织等殊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新疆维吾尔自治区高级人民法院伊犁哈萨克自治州分院整体绩效目标共设置一级指标11个，二级指标7个，三级指标29个，详细说明如下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1、数量指标：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指标1：工作日之外的加班补助发放补助次数，指标值：=4次，实际完成值：4次，指标完成率100.00%；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指标2：州两级法院在职干警审判服装受益人数（人），指标值：=942人，实际完成值942人，指标完成率100.00%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指标3：保障书记员人数，指标值：=78人，实际完成值：78人，指标完成率100.00%；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指标4：退费案件数量（件），指标值：&gt;240件，实际完成值：235件，指标完成率97.92%；</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指标5：保障在职人员人数，指标值：=185人，实际完成值：180人，指标完成率97.30%。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2、质量指标：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指标1：退费发放完成率（%），指标值：&gt;=97%，实际完成值：100%，指标完成率103.10%；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指标2：审判服装质量达到配备标准率（%），指标值：=100%，实际完成值：100%，指标完成率100.00%；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指标3：工资及公用经费保障率，指标值：&gt;=98%，实际完成值：100%，指标完成率102.04%；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指标4：书记员工资发放覆盖率，指标值：&gt;=99%，实际完成值：100%，指标完成率101.01%；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指标5：工作日之外的加班补助发放覆盖率(%)，指标值：&gt;=99%，实际完成值：100%，指标完成率101.01%。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3、时效指标：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指标1：书记员工资发放及时性，指标值：&gt;=99%，实际完成值：100%，指标完成率101.01%；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指标2：审判服装采购及时性，指标值：&gt;=90%，实际完成值：100%，指标完成率111.11%；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指标3：工作日之外的加班补助发放及时性，指标值：&gt;=99%，实际完成值：100%，指标完成率101.01%；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指标4：退费资金发放及时性，指标值：&gt;=97%，实际完成值：100%，指标完成率103.10%；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指标5：资金发放及时性，指标值：&gt;=99%，实际完成值：100%，指标完成率101.01%。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4、成本指标：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指标1：每次发放书记员工资资金数，指标值：&lt;=68.09万元，实际完成值：60.58万元，指标完成率88.97%；</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指标2：每次发放工作日之外的加班补助资金数，指标值：&lt;=18.86万元，实际完成值：18.86万元，指标完成率100.00%；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指标3：人均支出标准，指标值：&lt;=16.77万元，实际完成值：16.89万元，指标完成率0.00%；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指标4：平均每套审判服装采购单价，指标值：&lt;=0.47万元，实际完成值：0.43万元，指标完成率91.49%；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指标5：人均运转经费数，指标值：&lt;=2.72万元，实际完成值：2.67万元，指标完成率98.16%。</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5、社会效益指标：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指标1：提升本单位服务社会能力，指标值：显著提升，实际完成值：显著提升，指标完成率100.00%；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指标2：促进案件的“服判、息诉、”、“案结事了”，指标值：显著提升，实际完成值：显著提升，指标完成率100.00%；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指标3：提升法院干警社会形象，指标值：显著提升，实际完成值：显著提升，指标完成率100.00%；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6、可持续影响指标：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指标1：为伊犁经济社会发展提供坚强有力的司法服务和保障，指标值：持续提供，实际完成值：持续提供，指标完成率100.00%；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7、满意度指标：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指标1：审判服装使用人员的满意度（%），指标值：&gt;97%，实际完成值：100%，指标完成率103.09%；</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指标2：部门单位职工的满意度（%），指标值：&gt;=90%，实际完成值：100%，指标完成率111.11%；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指标3：当事人满意度（%），指标值：&gt;90%，实际完成值：100%，指标完成率111.11%；</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指标4：享受补助人员满意度(%)，指标值：&gt;=98%，实际完成值：100%，指标完成率102.04%；</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指标5：书记员满意度(%)，指标值&gt;=98%，实际完成值：100%，指标完成率102.04%。</w:t>
      </w:r>
    </w:p>
    <w:p w14:paraId="0A7FD00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30F459CE">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（1）对预算绩效管理概念的认识不到位、工作水平不高，主要是对全面预算绩效管理理论学习不够，需要进一步加强全面绩效管理方面的学习。</w:t>
      </w:r>
      <w:r>
        <w:rPr>
          <w:rFonts w:hint="eastAsia" w:ascii="仿宋_GB2312" w:hAnsi="宋体" w:eastAsia="仿宋_GB2312"/>
          <w:b/>
          <w:sz w:val="32"/>
          <w:szCs w:val="32"/>
        </w:rPr>
        <w:br w:type="textWrapping"/>
      </w:r>
      <w:r>
        <w:rPr>
          <w:rFonts w:hint="eastAsia" w:ascii="仿宋_GB2312" w:hAnsi="宋体" w:eastAsia="仿宋_GB2312"/>
          <w:b/>
          <w:sz w:val="32"/>
          <w:szCs w:val="32"/>
        </w:rPr>
        <w:t>（2）对预算绩效管理工作体系建设缺乏深入研究，还需结合行业特点进一步加强。</w:t>
      </w:r>
      <w:r>
        <w:rPr>
          <w:rFonts w:hint="eastAsia" w:ascii="仿宋_GB2312" w:hAnsi="宋体" w:eastAsia="仿宋_GB2312"/>
          <w:b/>
          <w:sz w:val="32"/>
          <w:szCs w:val="32"/>
        </w:rPr>
        <w:br w:type="textWrapping"/>
      </w:r>
      <w:r>
        <w:rPr>
          <w:rFonts w:hint="eastAsia" w:ascii="仿宋_GB2312" w:hAnsi="宋体" w:eastAsia="仿宋_GB2312"/>
          <w:b/>
          <w:sz w:val="32"/>
          <w:szCs w:val="32"/>
        </w:rPr>
        <w:t>（3）在绩效目标设置方面还有待进一步的科学设置和细化。</w:t>
      </w:r>
      <w:r>
        <w:rPr>
          <w:rFonts w:hint="eastAsia" w:ascii="仿宋_GB2312" w:hAnsi="宋体" w:eastAsia="仿宋_GB2312"/>
          <w:b/>
          <w:sz w:val="32"/>
          <w:szCs w:val="32"/>
        </w:rPr>
        <w:br w:type="textWrapping"/>
      </w:r>
      <w:r>
        <w:rPr>
          <w:rFonts w:hint="eastAsia" w:ascii="仿宋_GB2312" w:hAnsi="宋体" w:eastAsia="仿宋_GB2312"/>
          <w:b/>
          <w:sz w:val="32"/>
          <w:szCs w:val="32"/>
        </w:rPr>
        <w:t>上述问题存在的原因：一是对全面绩效管理的主观认识不到位、理解有偏差，致使绩效目标设置的可操作性不强、内容空泛；二是在组织机构上人员职责分工细化还不够、不科学、配合不密切，特别是项目实施管理人与绩效监控管理脱节，造成绩效目标设置不科学、不完整，“横向不能到边、纵向不能不到底”覆盖不全面；三是在内控制度上还不够健全，比如采购环节与绩效监控有不同步的情况；三是受疫情、维稳、两个全覆盖工作影响，整体支出进度相对较缓。</w:t>
      </w:r>
    </w:p>
    <w:p w14:paraId="01E62C6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6A4DA5F4">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针对上述存在问题，我们在今后绩效管理工作中主要采取以下改进措施：</w:t>
      </w:r>
      <w:r>
        <w:rPr>
          <w:rFonts w:hint="eastAsia" w:ascii="仿宋_GB2312" w:hAnsi="宋体" w:eastAsia="仿宋_GB2312"/>
          <w:b/>
          <w:sz w:val="32"/>
          <w:szCs w:val="32"/>
        </w:rPr>
        <w:br w:type="textWrapping"/>
      </w:r>
      <w:r>
        <w:rPr>
          <w:rFonts w:hint="eastAsia" w:ascii="仿宋_GB2312" w:hAnsi="宋体" w:eastAsia="仿宋_GB2312"/>
          <w:b/>
          <w:sz w:val="32"/>
          <w:szCs w:val="32"/>
        </w:rPr>
        <w:t>一是进一步加强项目绩效监控人员职责的分工细化和责任划分，使项目绩效监控落到实处而更加科学、规范；二是主动接受监督的意识要进一步增强，强化外部监督制约，认真落实内控制度，保障项目资金安全有效使用；三是依据预算加快项目资金的使用进度，促成年度项目及时、规范、高效完成，特别是基本建设项目资金管理方面要进一步加强；四是进一步完善内部控制制度，加强内部绩效管理。</w:t>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br w:type="textWrapping"/>
      </w:r>
      <w:r>
        <w:rPr>
          <w:rFonts w:hint="eastAsia" w:ascii="仿宋_GB2312" w:hAnsi="宋体" w:eastAsia="仿宋_GB2312"/>
          <w:b/>
          <w:sz w:val="32"/>
          <w:szCs w:val="32"/>
        </w:rPr>
        <w:t>加强对预算绩效理念、制度、监控方法的深度培训，特别是组织行业部门的绩效目标设置统一培训尤为迫切。加强对上级文件预算上报后要求必须实施的项目，在使用单位资金有保障、能力的前提下财政部门能尽快予以追加项目采购预算，尽快组织实施。</w:t>
      </w:r>
    </w:p>
    <w:p w14:paraId="2925293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59C4BD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209043B2"/>
    <w:rsid w:val="3C0C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14650</Words>
  <Characters>15937</Characters>
  <Lines>2</Lines>
  <Paragraphs>1</Paragraphs>
  <TotalTime>12</TotalTime>
  <ScaleCrop>false</ScaleCrop>
  <LinksUpToDate>false</LinksUpToDate>
  <CharactersWithSpaces>15965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2025-05-20T03:24:40Z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FA415E19AB79427ABC81180280CF871D</vt:lpwstr>
  </property>
  <property fmtid="{D5CDD505-2E9C-101B-9397-08002B2CF9AE}" pid="4" name="KSOTemplateDocerSaveRecord">
    <vt:lpwstr>eyJoZGlkIjoiZTJlNDBmZDg4NzQzM2UxZWE4MWMzYTNmYjU4NjJhMzkiLCJ1c2VySWQiOiIzODc1NDM2MTYifQ==</vt:lpwstr>
  </property>
</Properties>
</file>