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5B3F9">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2B863724">
      <w:pPr>
        <w:spacing w:line="540" w:lineRule="exact"/>
        <w:jc w:val="center"/>
        <w:rPr>
          <w:rFonts w:ascii="方正小标宋_GBK" w:hAnsi="华文中宋" w:eastAsia="方正小标宋_GBK" w:cs="宋体"/>
          <w:b/>
          <w:kern w:val="0"/>
          <w:sz w:val="48"/>
          <w:szCs w:val="48"/>
        </w:rPr>
      </w:pPr>
    </w:p>
    <w:p w14:paraId="56FE3831">
      <w:pPr>
        <w:spacing w:line="540" w:lineRule="exact"/>
        <w:jc w:val="center"/>
        <w:rPr>
          <w:rFonts w:ascii="方正小标宋_GBK" w:hAnsi="华文中宋" w:eastAsia="方正小标宋_GBK" w:cs="宋体"/>
          <w:b/>
          <w:kern w:val="0"/>
          <w:sz w:val="48"/>
          <w:szCs w:val="48"/>
        </w:rPr>
      </w:pPr>
    </w:p>
    <w:p w14:paraId="71BEA104">
      <w:pPr>
        <w:spacing w:line="540" w:lineRule="exact"/>
        <w:jc w:val="center"/>
        <w:rPr>
          <w:rFonts w:ascii="方正小标宋_GBK" w:hAnsi="华文中宋" w:eastAsia="方正小标宋_GBK" w:cs="宋体"/>
          <w:b/>
          <w:kern w:val="0"/>
          <w:sz w:val="48"/>
          <w:szCs w:val="48"/>
        </w:rPr>
      </w:pPr>
    </w:p>
    <w:p w14:paraId="393401E7">
      <w:pPr>
        <w:spacing w:line="540" w:lineRule="exact"/>
        <w:jc w:val="center"/>
        <w:rPr>
          <w:rFonts w:ascii="方正小标宋_GBK" w:hAnsi="华文中宋" w:eastAsia="方正小标宋_GBK" w:cs="宋体"/>
          <w:b/>
          <w:kern w:val="0"/>
          <w:sz w:val="48"/>
          <w:szCs w:val="48"/>
        </w:rPr>
      </w:pPr>
    </w:p>
    <w:p w14:paraId="1B39C0AE">
      <w:pPr>
        <w:spacing w:line="540" w:lineRule="exact"/>
        <w:jc w:val="center"/>
        <w:rPr>
          <w:rFonts w:ascii="方正小标宋_GBK" w:hAnsi="华文中宋" w:eastAsia="方正小标宋_GBK" w:cs="宋体"/>
          <w:b/>
          <w:kern w:val="0"/>
          <w:sz w:val="48"/>
          <w:szCs w:val="48"/>
        </w:rPr>
      </w:pPr>
    </w:p>
    <w:p w14:paraId="11A18AD0">
      <w:pPr>
        <w:spacing w:line="540" w:lineRule="exact"/>
        <w:jc w:val="center"/>
        <w:rPr>
          <w:rFonts w:ascii="方正小标宋_GBK" w:hAnsi="华文中宋" w:eastAsia="方正小标宋_GBK" w:cs="宋体"/>
          <w:b/>
          <w:kern w:val="0"/>
          <w:sz w:val="48"/>
          <w:szCs w:val="48"/>
        </w:rPr>
      </w:pPr>
    </w:p>
    <w:p w14:paraId="7D56F87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0C87FD0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58039830">
      <w:pPr>
        <w:spacing w:line="540" w:lineRule="exact"/>
        <w:jc w:val="center"/>
        <w:rPr>
          <w:rFonts w:ascii="华文中宋" w:hAnsi="华文中宋" w:eastAsia="华文中宋" w:cs="宋体"/>
          <w:b/>
          <w:kern w:val="0"/>
          <w:sz w:val="52"/>
          <w:szCs w:val="52"/>
        </w:rPr>
      </w:pPr>
    </w:p>
    <w:p w14:paraId="1CF259AF">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186745CD">
      <w:pPr>
        <w:spacing w:line="540" w:lineRule="exact"/>
        <w:jc w:val="center"/>
        <w:rPr>
          <w:rFonts w:hAnsi="宋体" w:eastAsia="仿宋_GB2312" w:cs="宋体"/>
          <w:kern w:val="0"/>
          <w:sz w:val="30"/>
          <w:szCs w:val="30"/>
        </w:rPr>
      </w:pPr>
    </w:p>
    <w:p w14:paraId="4CED77EE">
      <w:pPr>
        <w:spacing w:line="540" w:lineRule="exact"/>
        <w:jc w:val="center"/>
        <w:rPr>
          <w:rFonts w:hAnsi="宋体" w:eastAsia="仿宋_GB2312" w:cs="宋体"/>
          <w:kern w:val="0"/>
          <w:sz w:val="30"/>
          <w:szCs w:val="30"/>
        </w:rPr>
      </w:pPr>
    </w:p>
    <w:p w14:paraId="4D1EB09D">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2D6A57FE">
      <w:pPr>
        <w:spacing w:line="540" w:lineRule="exact"/>
        <w:jc w:val="center"/>
        <w:rPr>
          <w:rFonts w:hAnsi="宋体" w:eastAsia="仿宋_GB2312" w:cs="宋体"/>
          <w:kern w:val="0"/>
          <w:sz w:val="30"/>
          <w:szCs w:val="30"/>
        </w:rPr>
      </w:pPr>
    </w:p>
    <w:p w14:paraId="63BE86C2">
      <w:pPr>
        <w:spacing w:line="540" w:lineRule="exact"/>
        <w:jc w:val="center"/>
        <w:rPr>
          <w:rFonts w:hAnsi="宋体" w:eastAsia="仿宋_GB2312" w:cs="宋体"/>
          <w:kern w:val="0"/>
          <w:sz w:val="30"/>
          <w:szCs w:val="30"/>
        </w:rPr>
      </w:pPr>
    </w:p>
    <w:p w14:paraId="1F44B85D">
      <w:pPr>
        <w:spacing w:line="540" w:lineRule="exact"/>
        <w:jc w:val="center"/>
        <w:rPr>
          <w:rFonts w:hAnsi="宋体" w:eastAsia="仿宋_GB2312" w:cs="宋体"/>
          <w:kern w:val="0"/>
          <w:sz w:val="30"/>
          <w:szCs w:val="30"/>
        </w:rPr>
      </w:pPr>
    </w:p>
    <w:p w14:paraId="2A61933D">
      <w:pPr>
        <w:spacing w:line="540" w:lineRule="exact"/>
        <w:rPr>
          <w:rFonts w:hAnsi="宋体" w:eastAsia="仿宋_GB2312" w:cs="宋体"/>
          <w:kern w:val="0"/>
          <w:sz w:val="30"/>
          <w:szCs w:val="30"/>
        </w:rPr>
      </w:pPr>
    </w:p>
    <w:p w14:paraId="7C5A61A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260287E">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2DFE3CDF">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0D71FB5A">
      <w:pPr>
        <w:spacing w:line="700" w:lineRule="exact"/>
        <w:jc w:val="left"/>
        <w:rPr>
          <w:rFonts w:hAnsi="宋体" w:eastAsia="仿宋_GB2312" w:cs="宋体"/>
          <w:kern w:val="0"/>
          <w:sz w:val="36"/>
          <w:szCs w:val="36"/>
        </w:rPr>
      </w:pPr>
    </w:p>
    <w:p w14:paraId="6E61B129">
      <w:pPr>
        <w:spacing w:line="700" w:lineRule="exact"/>
        <w:jc w:val="left"/>
        <w:rPr>
          <w:rFonts w:hAnsi="宋体" w:eastAsia="仿宋_GB2312" w:cs="宋体"/>
          <w:kern w:val="0"/>
          <w:sz w:val="36"/>
          <w:szCs w:val="36"/>
        </w:rPr>
      </w:pPr>
    </w:p>
    <w:p w14:paraId="20CD2773">
      <w:pPr>
        <w:spacing w:line="700" w:lineRule="exact"/>
        <w:jc w:val="left"/>
        <w:rPr>
          <w:rFonts w:hAnsi="宋体" w:eastAsia="仿宋_GB2312" w:cs="宋体"/>
          <w:kern w:val="0"/>
          <w:sz w:val="36"/>
          <w:szCs w:val="36"/>
        </w:rPr>
      </w:pPr>
    </w:p>
    <w:p w14:paraId="68C451F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40265AFE">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1、主要职能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伊犁青少年报刊社隶属州团委主管，负责出版发行哈萨克文《新疆哈萨克青年》杂志、《新疆哈萨克少年报》、《新疆哈萨克儿童画报》的新闻出版任务，属全额拨款事业单位。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一、《新疆哈萨克青年》办刊的主要职能是：坚持正确的舆论导向和办刊方向，宣传党和国家的方针政策，对青年读者开展民族团结和反分裂教育，服务青年工作发展和青年读者成长进步。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二、《新疆哈萨克少年报》职能是：坚持正确舆论导向，宣传党和国家的方针政策，教育少年儿童热爱祖国人民，树立远大理想，珍视民族团结，为新疆和祖国的繁荣发展学习进步、健康成长。</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新疆哈萨克儿童画报》职能是：坚持正确的办刊方向和舆论导向，主要面向新疆哈萨克族少年儿童，以少年儿童喜闻乐见的形式传播科学、文化、历史、社会等方面的知识，宣传社会主义核心价值观，宣传民族团结，丰富少年儿童精神文化生活，引导他们树立正确的世界观、人生观、价值观。</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2、机构人员构成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（1）组织机构设置：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伊犁青少年报刊社无下属预算单位，下设  4个处室，分别是：办公室 、《新疆哈萨克青年》杂志编辑部、《新疆哈萨克少年报》编辑部、《新疆哈萨克科学画报》编辑部。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（2）2021年伊犁青少年报刊实有在职人员为17 人，其中：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事业在职 17人（上年18人），同比上年减少1人；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实有离休人员0人（上年0人）,与上年一致。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实有退休人员24人（上年23人）,同比上年增加1人。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3、重点工作计划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青少年报刊社隶属伊犁州团委主管，负责出版发行哈萨克文《新疆哈萨克青年》杂志、《新疆哈萨克少年报》、《新疆哈萨克儿童画报》的新闻出版任务，2021年伊犁青少年报刊社在伊犁州党委、政府的坚强领导和主管单位伊犁州团委的关心指导下,坚决贯彻落实自治区党委和自治州党委的重大决策部署，</w:t>
      </w:r>
      <w:r>
        <w:rPr>
          <w:rFonts w:hint="eastAsia" w:ascii="仿宋_GB2312" w:hAnsi="宋体" w:eastAsia="仿宋_GB2312"/>
          <w:b/>
          <w:sz w:val="32"/>
          <w:szCs w:val="32"/>
          <w:lang w:eastAsia="zh-CN"/>
        </w:rPr>
        <w:t>坚持以习近平新时代中国特色社会主义思想为指导</w:t>
      </w:r>
      <w:r>
        <w:rPr>
          <w:rFonts w:hint="eastAsia" w:ascii="仿宋_GB2312" w:hAnsi="宋体" w:eastAsia="仿宋_GB2312"/>
          <w:b/>
          <w:sz w:val="32"/>
          <w:szCs w:val="32"/>
        </w:rPr>
        <w:t>，始终坚持正确的舆论导向，突出办刊宗旨和特色，把办刊方向、内容向聚焦总目标、落实总目标上转移，积极传播正能量，大力培育和践行社会主义核心价值观，鲜明有力地把党和政府的声音传播好、社会进步主流展示好、人民群众的心声反映好，并做到所有工作都紧紧围绕总目标、围绕社会主义核心价值观、围绕民族团结、围绕反分裂教育等内容，为广大青少年读者提供更多更好的服务，按时出版发行“两刊一报”。“两刊一报”出版任务项目或工作，计划投入63.00万元，要完成和实现以达到既定的《新疆哈萨克青年》杂志、《新疆哈萨克少年报》、《新疆哈萨克儿童画报》的新闻出版任务目标。</w:t>
      </w:r>
      <w:bookmarkStart w:id="0" w:name="_Hlk43849111"/>
      <w:bookmarkEnd w:id="0"/>
    </w:p>
    <w:p w14:paraId="1FB1F5A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0E9CCC6D">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预算公开要求，部门预算及绩效目标在伊犁哈萨克自治州政府网站公开，广泛接受社会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2、预算支出管理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青少年报刊社《财务制度》相关规定和流程，伊犁青少年报刊社《预算执行》规定和《预算管理》流程。资金支出按照我园内控体系中设定的流程申报审批进行；项目支出属于政府采购的，按照《伊犁州财政局采购与招标管理办法》组织人员制定采购计划，按照财政局采购部门批复，进行公开招标、邀请招标等方式进行；属于非政府采购的项目，按照“三重一大”制度规定，重大项目支出上党支部委员会研究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预算安排259.5万元，实际到位259.5万元,实际支出248.47万元，占总支出的79.77％，其中：工资福利支出220.36万元、商品和服务支出22.23万元、对个人和家庭的补助5.88万元、主要用于在职和离退休人员基本工资、津贴补贴等人员经费；商品和服务支出主要用于办公费、印刷费、水电费、办公设备购置等。资本性支出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2021年基本支出比上年248.35万元，增加11.15万元，上升4.30%，上升的主要原因正常晋升、工资调整。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2021年一般公共预算“三公”经费数为 1.15 万元，其中：因公出国（境）费 0.00万元，公务用车购置 0.00万元，公务用车运行费 1.15 万元，公务接待费 0.00万元。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2021年一般公共预算“三公”经费比上年增加（减少）0 .00万元，其中：因公出国（境）费增加（减少）0万元，主要原因是未安排预算  ；公务用车购置费为0.00，未安排预算；公务用车运行费增加（减少） 0.00万元，主要原因是：与上年保持一致 ；公务接待费增加（减少）0.00万元，主要原因是未安排预算</w:t>
      </w:r>
    </w:p>
    <w:p w14:paraId="37DCA4A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745ED414">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下发的专项业务费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截止12月31日，该专项均按照时间计划保质、保量完成。</w:t>
      </w:r>
    </w:p>
    <w:p w14:paraId="12A3AD8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0A4F0C23">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资产管理情况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r>
        <w:rPr>
          <w:rFonts w:hint="eastAsia" w:ascii="仿宋_GB2312" w:hAnsi="宋体" w:eastAsia="仿宋_GB2312"/>
          <w:b/>
          <w:sz w:val="32"/>
          <w:szCs w:val="32"/>
        </w:rPr>
        <w:br w:type="textWrapping"/>
      </w: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346EF8A1">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2（一）经济效益评价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2021年度我单位年初预算安排309.43万元，年中调整13.07万元，截止12月底支出311.47万元，执行率96.58%。</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（二）效率性评价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在主管局的大力支持和社领导的正确领导下，我单位迎难而上、务实重干，积极推动各项2021年“两刊一报”印刷费和劳务费项目工作取得了新的进展，为促进经济持续健康发展与社会和谐稳定提供了有力的2021年“两刊一报” 印刷费和劳务费项目支撑和保障。                          1、圆满完成2021年“两刊一报” 印刷费和劳务费项目工作。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我社出版发行《新疆哈萨克青年》杂志共12期，《新疆哈萨克少年报（哈萨克文）》共48期，《新疆哈萨克儿童画报》共6期共66期。在自治州党委的正确领导下，我社充分发挥“两刊一报”的作用，牢牢扭住社会稳定和长治久安总目标，全面加强理论武装、舆论引导、文化引领、民族团结、法制和“去极端化”宣传教育、爱国主义教育，巩固和加强青少年的思想文化阵地。</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2、2021年“两刊一报” 印刷费和劳务费项目任务按时完成。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2021年年底之前《新疆哈萨克青年》杂志共12期，《新疆哈萨克少年报（哈萨克文）》共48期，《新疆哈萨克儿童画报》共6期共66期“两刊一报” 印刷费和劳务费项目任务按时完成。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 2021年“两刊一报” 印刷费和劳务费项目成效显著。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两刊一报”出版发行中我们更加紧密地团结在以习近平同志为核心的党中央周围，坚持以习近平新时代中国特色社会主义思想为指导，在自治州党委的坚强领导下，旗帜鲜明地站在意识形态领域工作第一线，主动抓好意识形态工作，管好阵地和编辑队伍，确保意识形态领域绝对安全，为打造“塞外江南”新伊犁作出新的更大的贡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4、2021年“两刊一报” 印刷费和劳务费项目全面达标，群众满意度高。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（三）有效性评价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2021年部门支出的有效性主要体现在我单位各项工作成效上，一是2021年“两刊一报” 印刷费和劳务费项目进一步夯实，二是报刊出版能力进一步提升，三是报刊出版质量监督检查进一步改善，四是报刊出版进度进一步提高，五是报刊出版发行率进一步推进，七是报刊出版水平进一步增强，详细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我社部门单位整体绩效目标共设置一级指标3 个，二级指标 9个，三级指标13个，详细说明如下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指标1：保障在职人员人数，指标值：=18人 ，实际完成值：18人条，指标完成率100%；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指标2：出版刊物、书籍数量，指标值：=57600本 ，实际完成值：57600本，指标完成率100%；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指标1：工资及公用经费保障率，指标值：100.00%，实际完成值：100%，指标完成率100.00%；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指标2：刊物质量合格率(%)，指标值：&gt;=95% ，实际完成值： 95%，指标完成率100%；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3、时效指标：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指标1：资金发放及时性   ，指标值：=100% ，实际完成值：  100.00% ，指标完成率=100.00%，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指标2：两刊一报发行按计划完成率，指标值： =100%  ，实际完成值：100.00% ，指标完成率100.00%，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4、成本指标：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指标1：人均支出标准，指标值：&lt;=12.35万元 ，实际完成值：11.43万元 ，指标完成率92.55%，。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  人均运转经费数  ，指标值： &lt;=1.33万元   ，实际完成值：1.24万元 ，指标完成率93.23%；</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5、社会效益指标：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指标1：“两刊一报”免费发放覆盖县市数量，指标值：=11个    ，实际完成值：8个  ，指标完成率72.72%；</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指标2：报刊杂志公益赠阅数量 ，指标值：逐年增加  ，实际完成值： 与上年持平  ，指标完成率0.00%；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6、可持续影响指标：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指标1：引领伊犁州广大青少年践行社会主义核心价值观 ，指标值：  持续引领  ，实际完成值：持续引领  ，指标完成率100.00%；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9、满意度指标：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 职工满意度 ，指标值： &gt;=90%   ，实际完成值：94.31% ，指标完成率104.79%；</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指标2：读者满意度 ，指标值：&gt;=90% ，实际完成值：100.00% ，指标完成率111.11%；</w:t>
      </w:r>
    </w:p>
    <w:p w14:paraId="4D3E30DF">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5912FC22">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1、预算编制工作有待细化。预算编制不够明确和细化，预算编制的合理性需要提高，预算执行力度还要进一步加大。</w:t>
      </w:r>
      <w:r>
        <w:rPr>
          <w:rFonts w:hint="eastAsia" w:ascii="仿宋_GB2312" w:hAnsi="宋体" w:eastAsia="仿宋_GB2312"/>
          <w:b/>
          <w:sz w:val="32"/>
          <w:szCs w:val="32"/>
        </w:rPr>
        <w:br w:type="textWrapping"/>
      </w:r>
      <w:r>
        <w:rPr>
          <w:rFonts w:hint="eastAsia" w:ascii="仿宋_GB2312" w:hAnsi="宋体" w:eastAsia="仿宋_GB2312"/>
          <w:b/>
          <w:sz w:val="32"/>
          <w:szCs w:val="32"/>
        </w:rPr>
        <w:t>2、预算绩效的管理只有少数人参与，并没有做到全体干部职工都做到重视预算绩效的重要性。</w:t>
      </w:r>
      <w:r>
        <w:rPr>
          <w:rFonts w:hint="eastAsia" w:ascii="仿宋_GB2312" w:hAnsi="宋体" w:eastAsia="仿宋_GB2312"/>
          <w:b/>
          <w:sz w:val="32"/>
          <w:szCs w:val="32"/>
        </w:rPr>
        <w:br w:type="textWrapping"/>
      </w:r>
      <w:r>
        <w:rPr>
          <w:rFonts w:hint="eastAsia" w:ascii="仿宋_GB2312" w:hAnsi="宋体" w:eastAsia="仿宋_GB2312"/>
          <w:b/>
          <w:sz w:val="32"/>
          <w:szCs w:val="32"/>
        </w:rPr>
        <w:t>3、转变思想观念不够，预算绩效管理意识淡薄。</w:t>
      </w:r>
    </w:p>
    <w:p w14:paraId="65E5B227">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490E58CB">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（一）改进措施</w:t>
      </w:r>
      <w:r>
        <w:rPr>
          <w:rFonts w:hint="eastAsia" w:ascii="仿宋_GB2312" w:hAnsi="宋体" w:eastAsia="仿宋_GB2312"/>
          <w:b/>
          <w:sz w:val="32"/>
          <w:szCs w:val="32"/>
        </w:rPr>
        <w:br w:type="textWrapping"/>
      </w:r>
      <w:r>
        <w:rPr>
          <w:rFonts w:hint="eastAsia" w:ascii="仿宋_GB2312" w:hAnsi="宋体" w:eastAsia="仿宋_GB2312"/>
          <w:b/>
          <w:sz w:val="32"/>
          <w:szCs w:val="32"/>
        </w:rP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r>
        <w:rPr>
          <w:rFonts w:hint="eastAsia" w:ascii="仿宋_GB2312" w:hAnsi="宋体" w:eastAsia="仿宋_GB2312"/>
          <w:b/>
          <w:sz w:val="32"/>
          <w:szCs w:val="32"/>
        </w:rPr>
        <w:br w:type="textWrapping"/>
      </w:r>
      <w:r>
        <w:rPr>
          <w:rFonts w:hint="eastAsia" w:ascii="仿宋_GB2312" w:hAnsi="宋体" w:eastAsia="仿宋_GB2312"/>
          <w:b/>
          <w:sz w:val="32"/>
          <w:szCs w:val="32"/>
        </w:rPr>
        <w:t>2、加强财务管理，严格财务审核。加强单位财务管理，健全单位财务管理制度体系，规范单位财务行为。在费用报账支付时，按照预算规定的费用项目和用途进行资金使用审核、列报支付、财务核算，杜绝超支现象的发生。</w:t>
      </w:r>
      <w:r>
        <w:rPr>
          <w:rFonts w:hint="eastAsia" w:ascii="仿宋_GB2312" w:hAnsi="宋体" w:eastAsia="仿宋_GB2312"/>
          <w:b/>
          <w:sz w:val="32"/>
          <w:szCs w:val="32"/>
        </w:rPr>
        <w:br w:type="textWrapping"/>
      </w:r>
      <w:r>
        <w:rPr>
          <w:rFonts w:hint="eastAsia" w:ascii="仿宋_GB2312" w:hAnsi="宋体" w:eastAsia="仿宋_GB2312"/>
          <w:b/>
          <w:sz w:val="32"/>
          <w:szCs w:val="32"/>
        </w:rPr>
        <w:t>3、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w:t>
      </w:r>
      <w:r>
        <w:rPr>
          <w:rFonts w:hint="eastAsia" w:ascii="仿宋_GB2312" w:hAnsi="宋体" w:eastAsia="仿宋_GB2312"/>
          <w:b/>
          <w:sz w:val="32"/>
          <w:szCs w:val="32"/>
        </w:rPr>
        <w:br w:type="textWrapping"/>
      </w:r>
      <w:r>
        <w:rPr>
          <w:rFonts w:hint="eastAsia" w:ascii="仿宋_GB2312" w:hAnsi="宋体" w:eastAsia="仿宋_GB2312"/>
          <w:b/>
          <w:sz w:val="32"/>
          <w:szCs w:val="32"/>
        </w:rPr>
        <w:t>4、对相关人员加强培训，特别是针对《预算法》、《行政事业单位会计制度》等学习培训，规范部门预算收支核算，切实提高部门预算收支管理水平.</w:t>
      </w:r>
      <w:r>
        <w:rPr>
          <w:rFonts w:hint="eastAsia" w:ascii="仿宋_GB2312" w:hAnsi="宋体" w:eastAsia="仿宋_GB2312"/>
          <w:b/>
          <w:sz w:val="32"/>
          <w:szCs w:val="32"/>
        </w:rPr>
        <w:br w:type="textWrapping"/>
      </w:r>
      <w:r>
        <w:rPr>
          <w:rFonts w:hint="eastAsia" w:ascii="仿宋_GB2312" w:hAnsi="宋体" w:eastAsia="仿宋_GB2312"/>
          <w:b/>
          <w:sz w:val="32"/>
          <w:szCs w:val="32"/>
        </w:rPr>
        <w:t>（二）建议</w:t>
      </w:r>
      <w:r>
        <w:rPr>
          <w:rFonts w:hint="eastAsia" w:ascii="仿宋_GB2312" w:hAnsi="宋体" w:eastAsia="仿宋_GB2312"/>
          <w:b/>
          <w:sz w:val="32"/>
          <w:szCs w:val="32"/>
        </w:rPr>
        <w:br w:type="textWrapping"/>
      </w:r>
      <w:r>
        <w:rPr>
          <w:rFonts w:hint="eastAsia" w:ascii="仿宋_GB2312" w:hAnsi="宋体" w:eastAsia="仿宋_GB2312"/>
          <w:b/>
          <w:sz w:val="32"/>
          <w:szCs w:val="32"/>
        </w:rPr>
        <w:t>1.选取切实可行、操作性较强的考核指标，建立考核指标的标准模板。2.加强资金使用部门对绩效评价工作的认识和重视程度，并将评价结果运用于工作始终。3.根据整体绩效实施计划，制定出科学合理的资金使用计划，不断提高资金使用效率。</w:t>
      </w:r>
    </w:p>
    <w:p w14:paraId="37F0658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550E91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AE3E95"/>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5306</Words>
  <Characters>5628</Characters>
  <Lines>2</Lines>
  <Paragraphs>1</Paragraphs>
  <TotalTime>12</TotalTime>
  <ScaleCrop>false</ScaleCrop>
  <LinksUpToDate>false</LinksUpToDate>
  <CharactersWithSpaces>5766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2025-05-27T11:35:07Z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eyJoZGlkIjoiZTJlNDBmZDg4NzQzM2UxZWE4MWMzYTNmYjU4NjJhMzkiLCJ1c2VySWQiOiIzODc1NDM2MTYifQ==</vt:lpwstr>
  </property>
  <property fmtid="{D5CDD505-2E9C-101B-9397-08002B2CF9AE}" pid="3" name="KSOProductBuildVer">
    <vt:lpwstr>2052-12.1.0.21171</vt:lpwstr>
  </property>
  <property fmtid="{D5CDD505-2E9C-101B-9397-08002B2CF9AE}" pid="4" name="ICV">
    <vt:lpwstr>69F7DC57268848B08999136B55E8D655_12</vt:lpwstr>
  </property>
</Properties>
</file>