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为州直离退休老干部提高活动场所与服务，管理维护场所、设施、设备；组织建立自管组织；承办文体活动以及州老年大学教学管理工作。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伊犁州老干部活动中心无下属预算单位，内设三个正科级科室，分别是：综合科（含州老年大学教学管理业务）、活动管理科、康乐保健科。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（2）2021年伊犁州老干部活动中心实有在职人员为14人，其中：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行政在职14人（上年14人），与上年一致；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实有退休人员11人（上年10人）, 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（1）、综合楼维修改造项目，计划投入214.9 万元，要实现州直离退休老干部活动场所更新改造，完成综合楼门前台阶及扶手维修改造，大门换新完成，全楼水电暖全部改造完成，全楼监控新增15处，增加显示屏1块，全楼内部所有墙面粉刷、全楼内部吊顶改造完成，全楼活动场所及教室已安装14部空调，购置一套会议音响，一楼至五楼新增公共卫生间8间，所有窗帘更换完毕等，新修停车场1个，打造具有特色的“红色书屋”“老干部书画展厅”“荣誉室”等精品场所，为老干部们提供了更加安全、更加舒适、更加愉悦的活动环境，丰富了老年大学文化精神，推进高品质老干文化建设，营造了良好的文化氛围，进一步弘扬主旋律、传播正能量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老年大学及团队组织“建党100周年”主题活动3场次，弘扬爱党爱国热情，组织老干部建立“空中课堂”，受疫情影响另辟蹊径，从线下活动和教学改为线上，开展4期直播课程，900余人次参观学习，呈现出一大批优秀摄影、书画、诗歌精品。该项目保障老年大学管理人员工资支出5万元，电费4.19万元，取暖费9.94，共计19.13万元，进一步提高老干部综合素质，强化党组织在老干部中的引领作用，组织内容丰富、形式多样、积极向上的文体活动，为老干部发挥余热搭建社会平台，为党和人民事业增添正能量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2021年我单位全年预算数为529.92万元，其中：年初批复的财政拨款为226.13万元，年中追加资金303.79万元，调整率134.34%。对比上年215.48万元增加314.44万元，上升145.93%。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2021年实际决算支出505.3万元，执行率95.35%，其中：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193.92万元，占总支出的38.38％，主要用于本部门伊犁州老干部活动中心机构正常运转、完成日常工作任务而发生的各项支出。其中：工资福利支出172.84万元，主要用于在职和离退休人员基本工资、津贴补贴等人员经费。商品和服务支出18万元，主要用于办公费、印刷费、水电费、办公设备购置等。对个人和家庭的补助3.08万元，主要用于退休费、奖励金。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311.37万元，占总支出的61.62％。其中：综合楼维修改造项目安排214.48万元，主要用于完成综合楼整体维修及改造；老干部服务费项目安排19.13万元，主要用于完成综合楼取暖费、电费以及老年大学教师工资；地平线宴会厅退赔项目65.1万元，主要用于支付租金、装修费赔偿和评估费；亚明药店退赔项目12.66万元，主要用于支付租金、装修费赔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（3）本年度重点项目支出214.48万元，重点支出保障率68.88%。其中重点保障项目是综合楼维修改造项目。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（4）本年度我单位全年政府采购预算1.55万元,实际用于政府采购金额1.55万元，采购执行率100 %。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本次部门（单位）整体支出绩效自评采用因素分析法方法，原因是：通过综合分析我单位在职人员人数、老年大学管理人员、疫情影响和老年大学学员满意度等综合因素，影响绩效目标实现、实施效果的内外因素，以及干部职工和老干部满意度计算完成率，通过同上年的预算决算的对比，综合计算投入产出比的方法。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涉及对象：本次评价对象是伊犁州老干部活动中心所有财政资金支出活动。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①基本支出193.92万元，其中：工资福利支出、商品和服务支出、对个人和家庭的补助支出。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②项目支出335.99万元：综合楼维修改造项目、老干部服务费项目、地平线宴会厅退赔资金项目、亚民药店退赔资金项目。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伊犁州老干部活动中心严格按照财政部门预算编制与预算调整的工作要求，在预算编制、分配依据否充分的条件下，切实做好“先定目标再编预算”，确保预算分配结果合理。同时按照州财政局要求，部门预算及绩效目标在州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州老干部活动中心《财务管理制度》相关规定和州老干部活动中心《内控管理制度》规定流程，资金支出按照我内控体系中设定的流程申报审批进行；项目支出属于政府采购的，按照州老干部活动中心《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193.92万元，实际到位193.92万元,实际支出193.92万元，占总支出的38.37％，其中：工资福利支出172.84万元、商品和服务支出18万元、对个人和家庭的补助3.08万元、主要用于主要用于在职和离退休人员基本工资、津贴补贴等人员经费；办公费、印刷费、水电费、办公设备购置；退休费、奖励金。资本性支出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2021年基本支出比上年179.35万元,增加14.57万元，上升8.12%，支出上升的主要原因是养老、医疗、公积金缴费基数上调，工资调标。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万元，其中：因公出国（境）费增加0万元，主要原因是本年度与上年度均未安排此项预算；公务用车购置费为0，未安排预算。公务用车运行费增加0万元，主要原因是与上年一致；公务接待费增加（减少）0万元，主要原因是本年度与上年度均未安排此项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2021年预算安排专项资金335.99万元，实际到位335.99万元, 到位率100％,其中:中央转移支付项目资金0万元，自治区资金0万元，本级安排335.99万元。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335.99万元，占总支出的63.41%，其中2021年专项项目支出比上年34.54万元增加301.45万元，上升872.76%。支出上升275.54万元的主要原因是年中追加3个项目，其中综合楼维修改造项目安排214.48万元，主要用于我单位综合楼整体维修及改造，提升老干部活动场所安全性和舒适度；地平线宴会厅退赔项目65.1万元，主要用于支付租金、装修费赔偿和评估费；亚明药店退赔项目12.66万元，主要用于支付租金、装修费赔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为规范专项资金使用，提高专项资金使用效益，我部门伊犁州老干部活动中心主要采取四项措施。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老干部活动中心专项资金管理办法》，《伊犁州老干部活动中心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（2）建立伊犁州老干部活动中心专项资金专帐，做到有据可依，有据可查。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（3）制订了伊犁州老干部活动中心项目实施方案，确保项目实施。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（4）认真组织伊犁州老干部活动中心项目项目验收，确保项目有效开展。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专项资金涉及政府采购项目的，按照局《伊犁州老干部活动中心项目采购与招标管理办法》组织人员制定采购计划，按照财政局采购部门批复，进行公开招标、邀请招标等方式进行。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伊犁州老干部活动中心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老干部服务费项目大部分已完成，其余专项均按照时间计划保质、保量完成，其中老干部服务费项目中包含州老年大学教职工及管理人员工资，因受疫情影响老年大学一直未对外开放，所以没有发生人员工资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335.99万元，实际到位335.99万元，资金到位率100%。截止到2021年12月31日执行311.37万元，执行率92.67%。其中：2021年结转专项资金0万元，实际执行0万元，执行率为0%；2021年新增专项资金335.99万元，实际执行311.37万元，执行率为92.67%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老干部活动中心，根据2021年4个项目的绩效目标及工作内容，将其细化分工至本单位负责人，加强组织领导，明确分工，各司其职，抓好工作目标任务的落实完成，同时年中要求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伊犁州老干部活动中心，实施的4个项目，由相关业务科室指派专人进行全过程跟踪管理，科室负责人统筹推进项目实施，单位领导不定期对项目进度进行调度，并对项目质量进行控制。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项目负责人从项目实施方案、项目预算、项目建设进度、项目成本、项目验收等环节，全过程对项目进行监管，并向本单位主要领导报告，以推进项目建设和提高项目质量，以发挥资金使用效益。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老干部活动中心，所涉及专项项目均已于专项资金下达后按照资金文件及绩效管理要求设置《项目绩效目标表》。4个专项项目预算总额为335.99万元，在项目实施过程中，业务人员加强项目管理，合理控制项目成本，截止项目结束，4个项目总成本为311.37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伊犁州老干部活动中心，所涉及专项项目使用资金比专项项目总预算减少24.62万元，项目节约率为7.33%。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2021年伊犁州老干部活动中心共涉及专项项目4个，截止到2021年底，通过专项项目实施过程中的有效监督，我单位按预期完成了4个专项的各项专项任务，项目总体完成率为85.99%。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综合楼维修改造项目完成综合楼维修和改造已完成并投入使用，通过竣工验收，质量合格。已完成综合楼门前台阶及扶手维修改造，大门换新完成，全楼水电暖全部改造完成，全楼监控新增15处，增加显示屏1块，全楼内部所有墙面粉刷、全楼内部吊顶改造完成，全楼活动场所及教室已安装14部空调，购置一套会议音响，一楼至五楼新增公共卫生间8间，所有窗帘更换完毕等，新修停车场1个，打造具有特色的“红色书屋”“老干部书画展厅”“荣誉室”等精品场所，为老干部们提供了更加安全、更加舒适、更加愉悦的活动环境，丰富了老年大学文化精神，推进高品质老干文化建设，营造了良好的文化氛围，进一步弘扬主旋律、传播正能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老干部服务费项目完成2021年老年大学及团队组织“建党100周年”主题活动3场次，弘扬爱党爱国热情，组织老干部建立“空中课堂”，受疫情影响另辟蹊径，从线下活动和教学改为线上，开展4期直播课程，900余人次参观学习，呈现出一大批优秀摄影、书画、诗歌精品。该项目保障老年大学管理人员工资支出5万元，电费4.19万元，取暖费9.94，共计19.13万元，进一步提高老干部综合素质，强化党组织在老干部中的引领作用，组织内容丰富、形式多样、积极向上的文体活动，为老干部发挥余热搭建社会平台，为党和人民事业增添正能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关于终止地平线租赁合同退赔资金项目完成退赔，退赔共计65.1万元，2021年通过维修改造项目拆除原有的地平线宴会厅打造老干部活动阵地，打造“老干部书画展厅”“红色书屋”“荣誉室”等新时代作品，老年大学及团队组织“建党100周年”主题活动3场次，弘扬爱党爱国热情，组织老干部建立“空中课堂”，开展4期直播课程，900余人次参观学习，呈现出一大批优秀摄影、书画、诗歌精品，组织内容丰富、形式多样、积极向上的文体活动，为老干部发挥余热搭建社会平台，为党和人民事业增添正能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关于终止亚民租赁合同退赔资金项目完成退赔，退赔共计12.67万元，2021年通过维修改造项目拆除原有的亚民大药房打造老干部活动阵地，打造“老干部书画展厅”“红色书屋”“荣誉室”等新时代作品，老年大学及团队组织“建党100周年”主题活动3场次，弘扬爱党爱国热情，组织老干部建立“空中课堂”，开展4期直播课程，900余人次参观学习，呈现出一大批优秀摄影、书画、诗歌精品，组织内容丰富、形式多样、积极向上的文体活动，为老干部发挥余热搭建社会平台，为党和人民事业增添正能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1、综合楼维修改造项目：通过维修改造为老干部提升活动场所舒适活动环境，同时减少了安全隐患事故，丰富了老年大学文化精神，推进高品质老干文化建设，对服务老干部的服务成效显著；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2、老干部服务费项目：打造了有特色的老干部文化宣传教育征地，老干部参与教学及文体活动的人数不断增加，老干部满意度不断提升；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3、关于终止地平线租赁合同退赔资金项目：通过此项目，我单位打造“红色书屋”“老干部书画展厅”等，优化大厅资源，减少安全事故，为老干部提供更加舒适的环境；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4、关于终止亚民租赁合同退赔资金项目：通过此项目，我单位打造“红色书屋”“老干部书画展厅”等，优化大厅资源，减少安全事故，为老干部提供更加舒适的环境；</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项目资产总额823.61万元，其中流动资产45.71万元（其中其他应收款为46.59万元），固定资产净值777.9万元（其中：土地、房屋及构筑物748.42万元，占固定资产净值的96.21%；通用设备17.04万元，占固定资产净值的2.19%；专用设备7.47万元，占固定资产净值的0.96%；其他4.96万元，占固定资产净值的0.64%）。</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本年度流动资产45.71万元，比上年减少14.85万元，原因是：清理往来款项14.85万元。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本年度固定资产1487.13万元，比上年增加166.7万元，原因是：增加综合楼维修改造资本性支出214.48万元，报废清理47.78万元固定资产。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实际在用固定资产1487.13万元，固定资产利用率100%。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2021年度我单位年初预算安排226.13万元，年中调整303.79万元，截止12月底支出505.3万元，执行率95.35%。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在州党委的大力支持和州党委老干部局的正确领导下，我单位迎难而上、务实重干，积极推动各项老干部工作取得了新的进展，为促进经济持续健康发展与社会和谐稳定提供了有力的支撑和保障。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强化政治引领，创新组织形式，不断推动党支部建设，引导老干部（老年学员）思想政治再上新台阶。重视学习，不断提升党员干部政治理论水平。加强管理，推动党支部标准化规范化建设。创新设置，老干部党组织实现从有形覆盖向有效覆盖转变。双管齐下，让思想政治教育线上线下不断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二、贯彻落实维稳备勤、疫情防控、脱贫攻坚等工作责任，以实际行动践行政治担当。</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停课不停学，创新活动方式，把老干部活动、大学教学开展的更加丰富。受新冠肺炎疫情的影响，州老年大学的班级不能按时开学，但老年大学组织学员通过“空中课堂”等网络平台进行学习和交流，依托临时党支部建设加强老年学员思想政治教育，在户外开展第二课堂，把疫情造成的损失降低到最小，积极开设“云教学”新模式，做到了教学、党建、活动“三不停”， 既满足于疫情防控要求，又打破了时空限制，极大激发广大学员更浓更高的学习热情。积极倡导大家以老年大学为新的人生舞台，永葆青春活力和乐观向上的健康心态，老有所学，老有所乐，争做新时代老人、阳光老人、正能量老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w:t>
      </w:r>
      <w:r>
        <w:rPr>
          <w:rFonts w:hint="eastAsia" w:ascii="仿宋_GB2312" w:hAnsi="宋体" w:eastAsia="仿宋_GB2312"/>
          <w:b/>
          <w:sz w:val="32"/>
          <w:szCs w:val="32"/>
          <w:lang w:eastAsia="zh-CN"/>
        </w:rPr>
        <w:t>坚持全面从严治党</w:t>
      </w:r>
      <w:r>
        <w:rPr>
          <w:rFonts w:hint="eastAsia" w:ascii="仿宋_GB2312" w:hAnsi="宋体" w:eastAsia="仿宋_GB2312"/>
          <w:b/>
          <w:sz w:val="32"/>
          <w:szCs w:val="32"/>
        </w:rPr>
        <w:t>，全面落实党风廉政建设责任制。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围绕发现问题线索主线，严抓问题整改措施落实。深化运用严肃监督执纪，筑牢党内监督第一道防线。抓好党性党风党纪和廉洁从政教育，切实增强党员干部拒腐防变能力。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部门支出的有效性主要体现在我单位各项工作成效上，内容明确、决策程序规范、预算编制科学合理、资金保障条件、组织机构健全有效、技术方案科学合理、管理制度健全有效和管控措施健全有效，在预算管理上：执行事前预算评审，事后进行结算评审，保证预算支出的有效性；在项目实施上，严格遵循招投标手续；在项目验收上聘请监理；在日常管理上，制定《伊犁州老干部活动中心财务管理制度》，做到有规有矩、有章有程，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伊犁州老干部活动中心部门单位整体绩效目标共设置一级指标    3个，二级指标6个，三级指标14个，详细说明如下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指标1：保障在职人员人数，指标值：=15人，实际完成值：15人，指标完成率100%；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指标2：教学及场所管理人员，指标值：&gt;=22人，实际完成值：1.33人，指标完成率6.05%；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w:t>
      </w:r>
      <w:r>
        <w:rPr>
          <w:rFonts w:hint="eastAsia" w:ascii="仿宋_GB2312" w:hAnsi="宋体" w:eastAsia="仿宋_GB2312"/>
          <w:b/>
          <w:sz w:val="32"/>
          <w:szCs w:val="32"/>
        </w:rPr>
        <w:tab/>
        <w:t>课程正常开课率，指标值：=100%，实际完成值：100%，指标完成率100%；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指标2：工资及公用经费保障率，指标值：=100%，实际完成值：100%，指标完成率100%；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指标2：教学及场所管理人员工资发放及时性，指标值：=100%，实际完成值：100%，指标完成率100%；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指标1：人均运转经费数 ，指标值：&lt;=2.89万元，实际完成值：1.2万元 ，指标完成率41.52%；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指标2：人均支出标准，指标值：&lt;=10.85万元，实际完成值：10万元，指标完成率92.17%；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指标3：每次发放教学及管理人员工资数，指标值：&lt;=2.39万元，实际完成值：0.42万元，指标完成率17.57%；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指标1：组织引导老干部正能量 ，指标值：持续开展，实际完成值：持续开展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w:t>
      </w:r>
      <w:r>
        <w:rPr>
          <w:rFonts w:hint="eastAsia" w:ascii="仿宋_GB2312" w:hAnsi="宋体" w:eastAsia="仿宋_GB2312"/>
          <w:b/>
          <w:sz w:val="32"/>
          <w:szCs w:val="32"/>
        </w:rPr>
        <w:tab/>
        <w:t>打造有特色的老干部文化宣传教育和社会服务阵地，指标值：效果显著，实际完成值：效果显著，指标完成率100%；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指标1：管理人员满意度，指标值：&gt;=96%，实际完成值：97.6%，指标完成率101.67%；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指标2：老干部服务满意度，指标值：&gt;=96%，实际完成值：97.6%，指标完成率101.67%；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指标3：职工满意度，指标值：&gt;=96%，实际完成值：97.6%，指标完成率101.67%；</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1.对于目标设足需要分科至部门分解，汇总后制定整体目标。目标设定后如何科学设定考核评价标准，特别是对于不能量化的目标如何评价。</w:t>
      </w:r>
      <w:r>
        <w:rPr>
          <w:rFonts w:hint="eastAsia" w:ascii="仿宋_GB2312" w:hAnsi="宋体" w:eastAsia="仿宋_GB2312"/>
          <w:b/>
          <w:sz w:val="32"/>
          <w:szCs w:val="32"/>
        </w:rPr>
        <w:br w:type="textWrapping"/>
      </w:r>
      <w:r>
        <w:rPr>
          <w:rFonts w:hint="eastAsia" w:ascii="仿宋_GB2312" w:hAnsi="宋体" w:eastAsia="仿宋_GB2312"/>
          <w:b/>
          <w:sz w:val="32"/>
          <w:szCs w:val="32"/>
        </w:rPr>
        <w:t>2.部门整体支出相比专项支出而言，社会效益较好，经济效益不明显。业务工作分项需更加清晰，不能很好的对比支出与成果，投入与产出效果，进而很难有针对性的发现问题，分析问题，提出解决方案。</w:t>
      </w:r>
      <w:r>
        <w:rPr>
          <w:rFonts w:hint="eastAsia" w:ascii="仿宋_GB2312" w:hAnsi="宋体" w:eastAsia="仿宋_GB2312"/>
          <w:b/>
          <w:sz w:val="32"/>
          <w:szCs w:val="32"/>
        </w:rPr>
        <w:br w:type="textWrapping"/>
      </w:r>
      <w:r>
        <w:rPr>
          <w:rFonts w:hint="eastAsia" w:ascii="仿宋_GB2312" w:hAnsi="宋体" w:eastAsia="仿宋_GB2312"/>
          <w:b/>
          <w:sz w:val="32"/>
          <w:szCs w:val="32"/>
        </w:rPr>
        <w:t>3.财务管理方面，会计核算还不够细致，对于有些能够细分的工作，未能详细分类核算，绩效评价基础数据不够精。</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1.学习如何科学合理制定绩效目标及考核体系，充分发挥绩效工作效用。</w:t>
      </w:r>
      <w:r>
        <w:rPr>
          <w:rFonts w:hint="eastAsia" w:ascii="仿宋_GB2312" w:hAnsi="宋体" w:eastAsia="仿宋_GB2312"/>
          <w:b/>
          <w:sz w:val="32"/>
          <w:szCs w:val="32"/>
        </w:rPr>
        <w:br w:type="textWrapping"/>
      </w:r>
      <w:r>
        <w:rPr>
          <w:rFonts w:hint="eastAsia" w:ascii="仿宋_GB2312" w:hAnsi="宋体" w:eastAsia="仿宋_GB2312"/>
          <w:b/>
          <w:sz w:val="32"/>
          <w:szCs w:val="32"/>
        </w:rPr>
        <w:t>2.对于能细分、归总的业务工作，效仿专项支出进行管理，以便更好的进行绩效评价，发现不足，提出改进。</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A086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9031</Words>
  <Characters>9707</Characters>
  <Lines>2</Lines>
  <Paragraphs>1</Paragraphs>
  <TotalTime>12</TotalTime>
  <ScaleCrop>false</ScaleCrop>
  <LinksUpToDate>false</LinksUpToDate>
  <CharactersWithSpaces>9750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2025-05-27T11:18:34Z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EBB1D0533BF144F7BE3CC8988F5072E1_12</vt:lpwstr>
  </property>
</Properties>
</file>