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02E790">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40BC94D2">
      <w:pPr>
        <w:spacing w:line="540" w:lineRule="exact"/>
        <w:jc w:val="center"/>
        <w:rPr>
          <w:rFonts w:ascii="方正小标宋_GBK" w:hAnsi="华文中宋" w:eastAsia="方正小标宋_GBK" w:cs="宋体"/>
          <w:b/>
          <w:kern w:val="0"/>
          <w:sz w:val="48"/>
          <w:szCs w:val="48"/>
        </w:rPr>
      </w:pPr>
    </w:p>
    <w:p w14:paraId="3C56FF76">
      <w:pPr>
        <w:spacing w:line="540" w:lineRule="exact"/>
        <w:jc w:val="center"/>
        <w:rPr>
          <w:rFonts w:ascii="方正小标宋_GBK" w:hAnsi="华文中宋" w:eastAsia="方正小标宋_GBK" w:cs="宋体"/>
          <w:b/>
          <w:kern w:val="0"/>
          <w:sz w:val="48"/>
          <w:szCs w:val="48"/>
        </w:rPr>
      </w:pPr>
    </w:p>
    <w:p w14:paraId="0656D091">
      <w:pPr>
        <w:spacing w:line="540" w:lineRule="exact"/>
        <w:jc w:val="center"/>
        <w:rPr>
          <w:rFonts w:ascii="方正小标宋_GBK" w:hAnsi="华文中宋" w:eastAsia="方正小标宋_GBK" w:cs="宋体"/>
          <w:b/>
          <w:kern w:val="0"/>
          <w:sz w:val="48"/>
          <w:szCs w:val="48"/>
        </w:rPr>
      </w:pPr>
    </w:p>
    <w:p w14:paraId="7DDCAAB0">
      <w:pPr>
        <w:spacing w:line="540" w:lineRule="exact"/>
        <w:jc w:val="center"/>
        <w:rPr>
          <w:rFonts w:ascii="方正小标宋_GBK" w:hAnsi="华文中宋" w:eastAsia="方正小标宋_GBK" w:cs="宋体"/>
          <w:b/>
          <w:kern w:val="0"/>
          <w:sz w:val="48"/>
          <w:szCs w:val="48"/>
        </w:rPr>
      </w:pPr>
    </w:p>
    <w:p w14:paraId="746613CF">
      <w:pPr>
        <w:spacing w:line="540" w:lineRule="exact"/>
        <w:jc w:val="center"/>
        <w:rPr>
          <w:rFonts w:ascii="方正小标宋_GBK" w:hAnsi="华文中宋" w:eastAsia="方正小标宋_GBK" w:cs="宋体"/>
          <w:b/>
          <w:kern w:val="0"/>
          <w:sz w:val="48"/>
          <w:szCs w:val="48"/>
        </w:rPr>
      </w:pPr>
    </w:p>
    <w:p w14:paraId="38B44F98">
      <w:pPr>
        <w:spacing w:line="540" w:lineRule="exact"/>
        <w:jc w:val="center"/>
        <w:rPr>
          <w:rFonts w:ascii="方正小标宋_GBK" w:hAnsi="华文中宋" w:eastAsia="方正小标宋_GBK" w:cs="宋体"/>
          <w:b/>
          <w:kern w:val="0"/>
          <w:sz w:val="48"/>
          <w:szCs w:val="48"/>
        </w:rPr>
      </w:pPr>
    </w:p>
    <w:p w14:paraId="52C8DD4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39BB8105">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2EE1F83A">
      <w:pPr>
        <w:spacing w:line="540" w:lineRule="exact"/>
        <w:jc w:val="center"/>
        <w:rPr>
          <w:rFonts w:ascii="华文中宋" w:hAnsi="华文中宋" w:eastAsia="华文中宋" w:cs="宋体"/>
          <w:b/>
          <w:kern w:val="0"/>
          <w:sz w:val="52"/>
          <w:szCs w:val="52"/>
        </w:rPr>
      </w:pPr>
    </w:p>
    <w:p w14:paraId="5603508E">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6DBE0793">
      <w:pPr>
        <w:spacing w:line="540" w:lineRule="exact"/>
        <w:jc w:val="center"/>
        <w:rPr>
          <w:rFonts w:hAnsi="宋体" w:eastAsia="仿宋_GB2312" w:cs="宋体"/>
          <w:kern w:val="0"/>
          <w:sz w:val="30"/>
          <w:szCs w:val="30"/>
        </w:rPr>
      </w:pPr>
    </w:p>
    <w:p w14:paraId="5FA2DB06">
      <w:pPr>
        <w:spacing w:line="540" w:lineRule="exact"/>
        <w:jc w:val="center"/>
        <w:rPr>
          <w:rFonts w:hAnsi="宋体" w:eastAsia="仿宋_GB2312" w:cs="宋体"/>
          <w:kern w:val="0"/>
          <w:sz w:val="30"/>
          <w:szCs w:val="30"/>
        </w:rPr>
      </w:pPr>
    </w:p>
    <w:p w14:paraId="621BD64A">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5D899871">
      <w:pPr>
        <w:spacing w:line="540" w:lineRule="exact"/>
        <w:jc w:val="center"/>
        <w:rPr>
          <w:rFonts w:hAnsi="宋体" w:eastAsia="仿宋_GB2312" w:cs="宋体"/>
          <w:kern w:val="0"/>
          <w:sz w:val="30"/>
          <w:szCs w:val="30"/>
        </w:rPr>
      </w:pPr>
    </w:p>
    <w:p w14:paraId="70F09303">
      <w:pPr>
        <w:spacing w:line="540" w:lineRule="exact"/>
        <w:jc w:val="center"/>
        <w:rPr>
          <w:rFonts w:hAnsi="宋体" w:eastAsia="仿宋_GB2312" w:cs="宋体"/>
          <w:kern w:val="0"/>
          <w:sz w:val="30"/>
          <w:szCs w:val="30"/>
        </w:rPr>
      </w:pPr>
    </w:p>
    <w:p w14:paraId="03E09BA5">
      <w:pPr>
        <w:spacing w:line="540" w:lineRule="exact"/>
        <w:jc w:val="center"/>
        <w:rPr>
          <w:rFonts w:hAnsi="宋体" w:eastAsia="仿宋_GB2312" w:cs="宋体"/>
          <w:kern w:val="0"/>
          <w:sz w:val="30"/>
          <w:szCs w:val="30"/>
        </w:rPr>
      </w:pPr>
    </w:p>
    <w:p w14:paraId="3D598967">
      <w:pPr>
        <w:spacing w:line="540" w:lineRule="exact"/>
        <w:rPr>
          <w:rFonts w:hAnsi="宋体" w:eastAsia="仿宋_GB2312" w:cs="宋体"/>
          <w:kern w:val="0"/>
          <w:sz w:val="30"/>
          <w:szCs w:val="30"/>
        </w:rPr>
      </w:pPr>
    </w:p>
    <w:p w14:paraId="64056C8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DFD2DCC">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05714F4F">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7BC91238">
      <w:pPr>
        <w:spacing w:line="700" w:lineRule="exact"/>
        <w:jc w:val="left"/>
        <w:rPr>
          <w:rFonts w:hAnsi="宋体" w:eastAsia="仿宋_GB2312" w:cs="宋体"/>
          <w:kern w:val="0"/>
          <w:sz w:val="36"/>
          <w:szCs w:val="36"/>
        </w:rPr>
      </w:pPr>
    </w:p>
    <w:p w14:paraId="3DEA7742">
      <w:pPr>
        <w:spacing w:line="700" w:lineRule="exact"/>
        <w:jc w:val="left"/>
        <w:rPr>
          <w:rFonts w:hAnsi="宋体" w:eastAsia="仿宋_GB2312" w:cs="宋体"/>
          <w:kern w:val="0"/>
          <w:sz w:val="36"/>
          <w:szCs w:val="36"/>
        </w:rPr>
      </w:pPr>
    </w:p>
    <w:p w14:paraId="4A03BBDE">
      <w:pPr>
        <w:spacing w:line="700" w:lineRule="exact"/>
        <w:jc w:val="left"/>
        <w:rPr>
          <w:rFonts w:hAnsi="宋体" w:eastAsia="仿宋_GB2312" w:cs="宋体"/>
          <w:kern w:val="0"/>
          <w:sz w:val="36"/>
          <w:szCs w:val="36"/>
        </w:rPr>
      </w:pPr>
    </w:p>
    <w:p w14:paraId="03559C9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15C7BB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一、基本概况</w:t>
      </w:r>
      <w:r>
        <w:rPr>
          <w:rFonts w:hint="eastAsia" w:ascii="仿宋_GB2312" w:hAnsi="宋体" w:eastAsia="仿宋_GB2312"/>
          <w:b/>
          <w:sz w:val="32"/>
          <w:szCs w:val="32"/>
        </w:rPr>
        <w:cr/>
      </w:r>
    </w:p>
    <w:p w14:paraId="41DBE91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部门单位基本情况</w:t>
      </w:r>
      <w:r>
        <w:rPr>
          <w:rFonts w:hint="eastAsia" w:ascii="仿宋_GB2312" w:hAnsi="宋体" w:eastAsia="仿宋_GB2312"/>
          <w:b/>
          <w:sz w:val="32"/>
          <w:szCs w:val="32"/>
        </w:rPr>
        <w:cr/>
      </w:r>
    </w:p>
    <w:p w14:paraId="3EA451D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61B0FCE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1、主要职能</w:t>
      </w:r>
      <w:r>
        <w:rPr>
          <w:rFonts w:hint="eastAsia" w:ascii="仿宋_GB2312" w:hAnsi="宋体" w:eastAsia="仿宋_GB2312"/>
          <w:b/>
          <w:sz w:val="32"/>
          <w:szCs w:val="32"/>
        </w:rPr>
        <w:cr/>
      </w:r>
    </w:p>
    <w:p w14:paraId="479B9C5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组织开展自治州各污染物的排放情况监控；整理、统计、分析、汇总各污染点源自动在线监测设备上传的数据；负责自治州环境保护系统信息化建设工作；负责自治州环境保护宣传教育工作。</w:t>
      </w:r>
      <w:r>
        <w:rPr>
          <w:rFonts w:hint="eastAsia" w:ascii="仿宋_GB2312" w:hAnsi="宋体" w:eastAsia="仿宋_GB2312"/>
          <w:b/>
          <w:sz w:val="32"/>
          <w:szCs w:val="32"/>
        </w:rPr>
        <w:cr/>
      </w:r>
    </w:p>
    <w:p w14:paraId="3484778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03B20AF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62E5E7C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伊犁州污染物监控与信息中心无下属预算单位，下设1 个科室，分别是：办公室。</w:t>
      </w:r>
      <w:r>
        <w:rPr>
          <w:rFonts w:hint="eastAsia" w:ascii="仿宋_GB2312" w:hAnsi="宋体" w:eastAsia="仿宋_GB2312"/>
          <w:b/>
          <w:sz w:val="32"/>
          <w:szCs w:val="32"/>
        </w:rPr>
        <w:cr/>
      </w:r>
    </w:p>
    <w:p w14:paraId="4962288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（2）2021年伊犁州污染物监控与信息中心实有在职人员为5人，其中：</w:t>
      </w:r>
      <w:r>
        <w:rPr>
          <w:rFonts w:hint="eastAsia" w:ascii="仿宋_GB2312" w:hAnsi="宋体" w:eastAsia="仿宋_GB2312"/>
          <w:b/>
          <w:sz w:val="32"/>
          <w:szCs w:val="32"/>
        </w:rPr>
        <w:cr/>
      </w:r>
    </w:p>
    <w:p w14:paraId="24916B0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事业在职６人（上年10人），同比上年减少４人；</w:t>
      </w:r>
      <w:r>
        <w:rPr>
          <w:rFonts w:hint="eastAsia" w:ascii="仿宋_GB2312" w:hAnsi="宋体" w:eastAsia="仿宋_GB2312"/>
          <w:b/>
          <w:sz w:val="32"/>
          <w:szCs w:val="32"/>
        </w:rPr>
        <w:cr/>
      </w:r>
    </w:p>
    <w:p w14:paraId="70022F2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实有离休人员0人（上年0人）,与上年一致。</w:t>
      </w:r>
      <w:r>
        <w:rPr>
          <w:rFonts w:hint="eastAsia" w:ascii="仿宋_GB2312" w:hAnsi="宋体" w:eastAsia="仿宋_GB2312"/>
          <w:b/>
          <w:sz w:val="32"/>
          <w:szCs w:val="32"/>
        </w:rPr>
        <w:cr/>
      </w:r>
    </w:p>
    <w:p w14:paraId="4601CB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实有退休人员２人（上年２人）,与上年一致。</w:t>
      </w:r>
      <w:r>
        <w:rPr>
          <w:rFonts w:hint="eastAsia" w:ascii="仿宋_GB2312" w:hAnsi="宋体" w:eastAsia="仿宋_GB2312"/>
          <w:b/>
          <w:sz w:val="32"/>
          <w:szCs w:val="32"/>
        </w:rPr>
        <w:cr/>
      </w:r>
    </w:p>
    <w:p w14:paraId="2149A29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14:paraId="4318398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日常业务开展经费，计划投入121.37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印刷费、水电费、办公设备购置等。</w:t>
      </w:r>
      <w:r>
        <w:rPr>
          <w:rFonts w:hint="eastAsia" w:ascii="仿宋_GB2312" w:hAnsi="宋体" w:eastAsia="仿宋_GB2312"/>
          <w:b/>
          <w:sz w:val="32"/>
          <w:szCs w:val="32"/>
        </w:rPr>
        <w:cr/>
      </w:r>
    </w:p>
    <w:p w14:paraId="22BFA36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２）污染源在线、国控重点污染源监控、环境应急指挥视频会议系统运维项目，计划投入30万元，要实现保障伊犁州污染源在线系统、国控污染源监控系统、中枢系统和视频会议系统的正常运维，为加强污染源监管、改善生态环境质量、防范风险提供科学依据和支撑的目标。</w:t>
      </w:r>
      <w:r>
        <w:rPr>
          <w:rFonts w:hint="eastAsia" w:ascii="仿宋_GB2312" w:hAnsi="宋体" w:eastAsia="仿宋_GB2312"/>
          <w:b/>
          <w:sz w:val="32"/>
          <w:szCs w:val="32"/>
        </w:rPr>
        <w:cr/>
      </w:r>
    </w:p>
    <w:p w14:paraId="36E24D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３）环境宣传教育项目，计划投入10万，要实现做好环境政策法规的传导，开展生态能力建设的展示，做好全局宣传策划，按照年度工作计划开展六五世界环境日等系列宣传教育工作及组织环保公众日线上线下不少于6次活动。</w:t>
      </w:r>
      <w:r>
        <w:rPr>
          <w:rFonts w:hint="eastAsia" w:ascii="仿宋_GB2312" w:hAnsi="宋体" w:eastAsia="仿宋_GB2312"/>
          <w:b/>
          <w:sz w:val="32"/>
          <w:szCs w:val="32"/>
        </w:rPr>
        <w:cr/>
      </w:r>
    </w:p>
    <w:p w14:paraId="3141DCD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14:paraId="5A0596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14:paraId="0EFFE2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2021年我单位全年预算数为154.77万元，其中：年初批复的财政拨款为161.37万元，年中追减6.60万元，调整率4.09%。对比上年149.97万元增加4.8万元，上升3.20%。</w:t>
      </w:r>
      <w:r>
        <w:rPr>
          <w:rFonts w:hint="eastAsia" w:ascii="仿宋_GB2312" w:hAnsi="宋体" w:eastAsia="仿宋_GB2312"/>
          <w:b/>
          <w:sz w:val="32"/>
          <w:szCs w:val="32"/>
        </w:rPr>
        <w:cr/>
      </w:r>
    </w:p>
    <w:p w14:paraId="27B852E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2021年实际决算支出153.10万元，执行率98.92%，其中：</w:t>
      </w:r>
      <w:r>
        <w:rPr>
          <w:rFonts w:hint="eastAsia" w:ascii="仿宋_GB2312" w:hAnsi="宋体" w:eastAsia="仿宋_GB2312"/>
          <w:b/>
          <w:sz w:val="32"/>
          <w:szCs w:val="32"/>
        </w:rPr>
        <w:cr/>
      </w:r>
    </w:p>
    <w:p w14:paraId="3A68530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113.60万元，占总支出的74.20％，主要用于本部门单位机构正常运转、完成日常工作任务而发生的各项支出。其中：工资福利支出105.19万元，主要用于在职和离退休人员基本工资、津贴补贴等人员经费。商品和服务支出8.13万元，主要用于办公费、印刷费、水电费、办公设备购置等。对个人和家庭的补助0.29万元，主要用于退休人员统筹外、个人取暖费等。 </w:t>
      </w:r>
      <w:r>
        <w:rPr>
          <w:rFonts w:hint="eastAsia" w:ascii="仿宋_GB2312" w:hAnsi="宋体" w:eastAsia="仿宋_GB2312"/>
          <w:b/>
          <w:sz w:val="32"/>
          <w:szCs w:val="32"/>
        </w:rPr>
        <w:cr/>
      </w:r>
    </w:p>
    <w:p w14:paraId="621BC2E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2）项目支出39.5万元，占总支出的25.80％。其中：污染源在线、国控重点污染源监控、环境应急指挥视频会议系统运维项目安排29.5万元，主要用于完成保障伊犁州污染源在线系统、国控污染源监控系统、中枢系统和视频会议系统运维;环境宣传教育项目安排10万元，主要用于完成六五世界环境日等系列宣传教育工作及组织环保公众日线上线下不少于6次活动。</w:t>
      </w:r>
      <w:r>
        <w:rPr>
          <w:rFonts w:hint="eastAsia" w:ascii="仿宋_GB2312" w:hAnsi="宋体" w:eastAsia="仿宋_GB2312"/>
          <w:b/>
          <w:sz w:val="32"/>
          <w:szCs w:val="32"/>
        </w:rPr>
        <w:cr/>
      </w:r>
    </w:p>
    <w:p w14:paraId="223F73C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（3）本年度重点项目支出29.5万元，重点支出保障率100%。其中重点保障项目是污染源在线、国控重点污染源监控、环境应急指挥视频会议系统运维项目。</w:t>
      </w:r>
      <w:r>
        <w:rPr>
          <w:rFonts w:hint="eastAsia" w:ascii="仿宋_GB2312" w:hAnsi="宋体" w:eastAsia="仿宋_GB2312"/>
          <w:b/>
          <w:sz w:val="32"/>
          <w:szCs w:val="32"/>
        </w:rPr>
        <w:cr/>
      </w:r>
    </w:p>
    <w:p w14:paraId="6A2656D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（4）本年度我单位全年政府采购预算32.05万元,实际用于政府采购金额31.55万元，采购执行率98.44%。</w:t>
      </w:r>
      <w:r>
        <w:rPr>
          <w:rFonts w:hint="eastAsia" w:ascii="仿宋_GB2312" w:hAnsi="宋体" w:eastAsia="仿宋_GB2312"/>
          <w:b/>
          <w:sz w:val="32"/>
          <w:szCs w:val="32"/>
        </w:rPr>
        <w:cr/>
      </w:r>
    </w:p>
    <w:p w14:paraId="47C67D7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14:paraId="0B6119D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14:paraId="021AB98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次我单位整体支出绩效自评采用比较法和因素分析法相结合的方法，主要的原因：一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因素分析法综合分析影响绩效目标实现、实施效果的内外部因素，提高项目实施、款项回笼、资金支付、票据审核及传递</w:t>
      </w:r>
      <w:r>
        <w:rPr>
          <w:rFonts w:hint="eastAsia" w:ascii="仿宋_GB2312" w:hAnsi="宋体" w:eastAsia="仿宋_GB2312"/>
          <w:b/>
          <w:sz w:val="32"/>
          <w:szCs w:val="32"/>
          <w:lang w:eastAsia="zh-CN"/>
        </w:rPr>
        <w:t>及</w:t>
      </w:r>
      <w:r>
        <w:rPr>
          <w:rFonts w:hint="eastAsia" w:ascii="仿宋_GB2312" w:hAnsi="宋体" w:eastAsia="仿宋_GB2312"/>
          <w:b/>
          <w:sz w:val="32"/>
          <w:szCs w:val="32"/>
        </w:rPr>
        <w:t>与主管培训部门的沟通交流，提高项目执行的工作效率，达到预定的项目目标。</w:t>
      </w:r>
      <w:r>
        <w:rPr>
          <w:rFonts w:hint="eastAsia" w:ascii="仿宋_GB2312" w:hAnsi="宋体" w:eastAsia="仿宋_GB2312"/>
          <w:b/>
          <w:sz w:val="32"/>
          <w:szCs w:val="32"/>
        </w:rPr>
        <w:cr/>
      </w:r>
    </w:p>
    <w:p w14:paraId="45C41A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（2）整体支出评价主要内容</w:t>
      </w:r>
      <w:r>
        <w:rPr>
          <w:rFonts w:hint="eastAsia" w:ascii="仿宋_GB2312" w:hAnsi="宋体" w:eastAsia="仿宋_GB2312"/>
          <w:b/>
          <w:sz w:val="32"/>
          <w:szCs w:val="32"/>
        </w:rPr>
        <w:cr/>
      </w:r>
    </w:p>
    <w:p w14:paraId="72C5FD5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①绩效目标的设定情况。重点评价绩效目标设立的充分性、明确性、合理性以及细化程度。</w:t>
      </w:r>
      <w:r>
        <w:rPr>
          <w:rFonts w:hint="eastAsia" w:ascii="仿宋_GB2312" w:hAnsi="宋体" w:eastAsia="仿宋_GB2312"/>
          <w:b/>
          <w:sz w:val="32"/>
          <w:szCs w:val="32"/>
        </w:rPr>
        <w:cr/>
      </w:r>
    </w:p>
    <w:p w14:paraId="43DB126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②资金投入和使用情况。重点评价资金分配过程、投入方式、资金到位、预算执行和结果。</w:t>
      </w:r>
      <w:r>
        <w:rPr>
          <w:rFonts w:hint="eastAsia" w:ascii="仿宋_GB2312" w:hAnsi="宋体" w:eastAsia="仿宋_GB2312"/>
          <w:b/>
          <w:sz w:val="32"/>
          <w:szCs w:val="32"/>
        </w:rPr>
        <w:cr/>
      </w:r>
    </w:p>
    <w:p w14:paraId="4F89142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354425F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71C4DA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（3）整体支出评价涉及对象及范围</w:t>
      </w:r>
      <w:r>
        <w:rPr>
          <w:rFonts w:hint="eastAsia" w:ascii="仿宋_GB2312" w:hAnsi="宋体" w:eastAsia="仿宋_GB2312"/>
          <w:b/>
          <w:sz w:val="32"/>
          <w:szCs w:val="32"/>
        </w:rPr>
        <w:cr/>
      </w:r>
    </w:p>
    <w:p w14:paraId="7CFCF20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涉及对象：本次评价对象是伊犁州污染物监控与信息中心部门单位所有财政资金支出活动。</w:t>
      </w:r>
      <w:r>
        <w:rPr>
          <w:rFonts w:hint="eastAsia" w:ascii="仿宋_GB2312" w:hAnsi="宋体" w:eastAsia="仿宋_GB2312"/>
          <w:b/>
          <w:sz w:val="32"/>
          <w:szCs w:val="32"/>
        </w:rPr>
        <w:cr/>
      </w:r>
    </w:p>
    <w:p w14:paraId="5D4A608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整体支出评价范围：</w:t>
      </w:r>
      <w:r>
        <w:rPr>
          <w:rFonts w:hint="eastAsia" w:ascii="仿宋_GB2312" w:hAnsi="宋体" w:eastAsia="仿宋_GB2312"/>
          <w:b/>
          <w:sz w:val="32"/>
          <w:szCs w:val="32"/>
        </w:rPr>
        <w:cr/>
      </w:r>
    </w:p>
    <w:p w14:paraId="2210D6A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①基本支出114.77万元，其中：工资福利支出、商品和服务支出、对个人和家庭的补助支出。</w:t>
      </w:r>
      <w:r>
        <w:rPr>
          <w:rFonts w:hint="eastAsia" w:ascii="仿宋_GB2312" w:hAnsi="宋体" w:eastAsia="仿宋_GB2312"/>
          <w:b/>
          <w:sz w:val="32"/>
          <w:szCs w:val="32"/>
        </w:rPr>
        <w:cr/>
      </w:r>
    </w:p>
    <w:p w14:paraId="693041F5">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 xml:space="preserve">  ②项目支出40万元：2021年污染源在线、国控重点污染源监控、环境应急指挥视频会议系统运维项目，环境宣传教育项目。</w:t>
      </w:r>
      <w:bookmarkStart w:id="0" w:name="_Hlk43849111"/>
      <w:bookmarkEnd w:id="0"/>
    </w:p>
    <w:p w14:paraId="51A65225">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1A70158D">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二、部门单位整体支出管理及使用情况</w:t>
      </w:r>
      <w:r>
        <w:rPr>
          <w:rFonts w:hint="eastAsia" w:ascii="仿宋_GB2312" w:hAnsi="宋体" w:eastAsia="仿宋_GB2312"/>
          <w:b/>
          <w:sz w:val="32"/>
          <w:szCs w:val="32"/>
        </w:rPr>
        <w:cr/>
      </w:r>
    </w:p>
    <w:p w14:paraId="636E6F1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6BF6ECF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14:paraId="429207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伊犁州财政局的要求，部门预算及绩效目标在伊犁州政府网站统一公开，广泛接受社会监督。</w:t>
      </w:r>
      <w:r>
        <w:rPr>
          <w:rFonts w:hint="eastAsia" w:ascii="仿宋_GB2312" w:hAnsi="宋体" w:eastAsia="仿宋_GB2312"/>
          <w:b/>
          <w:sz w:val="32"/>
          <w:szCs w:val="32"/>
        </w:rPr>
        <w:cr/>
      </w:r>
    </w:p>
    <w:p w14:paraId="43CBB24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14:paraId="531E817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0FC9BE0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（二）基本支出管理及使用情况</w:t>
      </w:r>
      <w:r>
        <w:rPr>
          <w:rFonts w:hint="eastAsia" w:ascii="仿宋_GB2312" w:hAnsi="宋体" w:eastAsia="仿宋_GB2312"/>
          <w:b/>
          <w:sz w:val="32"/>
          <w:szCs w:val="32"/>
        </w:rPr>
        <w:cr/>
      </w:r>
    </w:p>
    <w:p w14:paraId="1B1B368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 114.77万元，实际到位114.77万元,实际支出113.60万元，占总支出的74.20％，其中：工资福利支出105.19 万元、商品和服务支出8.13 万元、对个人和家庭的补助 0.28万元、主要用于退休 休人员统筹外支出 。资本性支出0万元。</w:t>
      </w:r>
      <w:r>
        <w:rPr>
          <w:rFonts w:hint="eastAsia" w:ascii="仿宋_GB2312" w:hAnsi="宋体" w:eastAsia="仿宋_GB2312"/>
          <w:b/>
          <w:sz w:val="32"/>
          <w:szCs w:val="32"/>
        </w:rPr>
        <w:cr/>
      </w:r>
    </w:p>
    <w:p w14:paraId="2D3EE02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2021年基本支出比上年113.83万元,减少0.23万元，下降0.20%，减少的主要原因是人员社保基数微调。</w:t>
      </w:r>
      <w:r>
        <w:rPr>
          <w:rFonts w:hint="eastAsia" w:ascii="仿宋_GB2312" w:hAnsi="宋体" w:eastAsia="仿宋_GB2312"/>
          <w:b/>
          <w:sz w:val="32"/>
          <w:szCs w:val="32"/>
        </w:rPr>
        <w:cr/>
      </w:r>
    </w:p>
    <w:p w14:paraId="181E856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2021年一般公共预算“三公”经费数为1.15万元，其中：因公出国（境）费0万元，公务用车购置0万元，公务用车运行费１.１５万元，公务接待费0万元。</w:t>
      </w:r>
      <w:r>
        <w:rPr>
          <w:rFonts w:hint="eastAsia" w:ascii="仿宋_GB2312" w:hAnsi="宋体" w:eastAsia="仿宋_GB2312"/>
          <w:b/>
          <w:sz w:val="32"/>
          <w:szCs w:val="32"/>
        </w:rPr>
        <w:cr/>
      </w:r>
    </w:p>
    <w:p w14:paraId="12982A7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0万元，其中：因公出国（境）费增加0万元，主要原因是我单位本年度与上年度均未安排此项支出；公务用车购置费为0，未安排预算。公务用车运行费增加0万元，主要原因是本年与上年支出一致，未增加；公务接待费增加0万元，主要原因是我单位本年度与上年度均未安排此项支出。</w:t>
      </w:r>
      <w:r>
        <w:rPr>
          <w:rFonts w:hint="eastAsia" w:ascii="仿宋_GB2312" w:hAnsi="宋体" w:eastAsia="仿宋_GB2312"/>
          <w:b/>
          <w:sz w:val="32"/>
          <w:szCs w:val="32"/>
        </w:rPr>
        <w:cr/>
      </w:r>
    </w:p>
    <w:p w14:paraId="656573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7104F78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14:paraId="6A6F562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14:paraId="7968946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2021年预算安排专项资金40万元，实际到位40万元, 到位率100%,其中:中央转移支付项目资金０万元，自治区资金０万元，本级安排40万元。</w:t>
      </w:r>
      <w:r>
        <w:rPr>
          <w:rFonts w:hint="eastAsia" w:ascii="仿宋_GB2312" w:hAnsi="宋体" w:eastAsia="仿宋_GB2312"/>
          <w:b/>
          <w:sz w:val="32"/>
          <w:szCs w:val="32"/>
        </w:rPr>
        <w:cr/>
      </w:r>
    </w:p>
    <w:p w14:paraId="2D05ED2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14:paraId="3D31BBF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2021年专项资金支出39.50万元，占总支出的25.80%，其中2021年专项项目支出比上年36.14万元增加3.36万元，增长9.29% 。支出上升的主要原因是增加了环境宣传项目资金投入，及根据运维实施情况增加资金投入。其中：2021年污染源在线、国控重点污染源监控、环境应急指挥视频会议系统运维项目安排29.50万元，主要用于完成保障伊犁州污染源在线系统、国控污染源监控系统、中枢系统和视频会议系统运维，2021年环境宣传教育项目安排10万元，主要用于完成六五世界环境日等系列宣传教育工作及组织环保公众日线上线下不少于6次活动。</w:t>
      </w:r>
      <w:r>
        <w:rPr>
          <w:rFonts w:hint="eastAsia" w:ascii="仿宋_GB2312" w:hAnsi="宋体" w:eastAsia="仿宋_GB2312"/>
          <w:b/>
          <w:sz w:val="32"/>
          <w:szCs w:val="32"/>
        </w:rPr>
        <w:cr/>
      </w:r>
    </w:p>
    <w:p w14:paraId="5781AFA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5ED900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p>
    <w:p w14:paraId="082BACB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一是制订专项资金管理制度；二是各专项资金建立了专账；三是制订了项目实施方案；四是认真组织项目验收。切实确保专项资金都做到了专款专用。其中：</w:t>
      </w:r>
      <w:r>
        <w:rPr>
          <w:rFonts w:hint="eastAsia" w:ascii="仿宋_GB2312" w:hAnsi="宋体" w:eastAsia="仿宋_GB2312"/>
          <w:b/>
          <w:sz w:val="32"/>
          <w:szCs w:val="32"/>
        </w:rPr>
        <w:cr/>
      </w:r>
    </w:p>
    <w:p w14:paraId="0DA6B09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1）制定了《伊犁州污染物监控与信息中心财务管理制度》，为加强资金安排管理，我单位严格专项支出审批，明确资金申报范围、程序和具体要求，要求申报项目必须符合政策要求，必须产生明显的环境、经济和社会效益；另一方面，加强资金使用过程中的监督监控，严格按照资金管理使用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64D5B8D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（2）建立伊犁州污染物监控与信息中心2021年污染源在线、国控重点污染源监控、环境应急指挥视频会议系统运维项目专项资金专账，做到有据可依，有据可查。</w:t>
      </w:r>
      <w:r>
        <w:rPr>
          <w:rFonts w:hint="eastAsia" w:ascii="仿宋_GB2312" w:hAnsi="宋体" w:eastAsia="仿宋_GB2312"/>
          <w:b/>
          <w:sz w:val="32"/>
          <w:szCs w:val="32"/>
        </w:rPr>
        <w:cr/>
      </w:r>
    </w:p>
    <w:p w14:paraId="7B1110A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（3）制订了伊犁州污染物监控与信息中心2021年污染源在线、国控重点污染源监控、环境应急指挥视频会议系统运维项目实施方案，确保项目达标验收管理办法。</w:t>
      </w:r>
      <w:r>
        <w:rPr>
          <w:rFonts w:hint="eastAsia" w:ascii="仿宋_GB2312" w:hAnsi="宋体" w:eastAsia="仿宋_GB2312"/>
          <w:b/>
          <w:sz w:val="32"/>
          <w:szCs w:val="32"/>
        </w:rPr>
        <w:cr/>
      </w:r>
    </w:p>
    <w:p w14:paraId="70B9F6B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（4）认真组织项目专家进行评估验收，确保工作的完成落实。</w:t>
      </w:r>
      <w:r>
        <w:rPr>
          <w:rFonts w:hint="eastAsia" w:ascii="仿宋_GB2312" w:hAnsi="宋体" w:eastAsia="仿宋_GB2312"/>
          <w:b/>
          <w:sz w:val="32"/>
          <w:szCs w:val="32"/>
        </w:rPr>
        <w:cr/>
      </w:r>
    </w:p>
    <w:p w14:paraId="12B3A218">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　　专项资金涉及政府采购项目的，按照《伊犁州采购与招标管理办法》组织人员制定采购计划，按照财政局采购部门批复，进行公开招标、邀请招标等方式进行。</w:t>
      </w:r>
    </w:p>
    <w:p w14:paraId="5BAFAA66">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434D5C14">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三、部门单位专项组织实施情况</w:t>
      </w:r>
      <w:r>
        <w:rPr>
          <w:rFonts w:hint="eastAsia" w:ascii="仿宋_GB2312" w:hAnsi="宋体" w:eastAsia="仿宋_GB2312"/>
          <w:b/>
          <w:sz w:val="32"/>
          <w:szCs w:val="32"/>
        </w:rPr>
        <w:cr/>
      </w:r>
    </w:p>
    <w:p w14:paraId="702B05E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50B1C3D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5E7C5A6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2021年污染源在线、国控重点污染源监控、环境应急指挥视频会议系统运维项目及2021年度环境宣传教育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5339A9E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2、组织实施</w:t>
      </w:r>
      <w:r>
        <w:rPr>
          <w:rFonts w:hint="eastAsia" w:ascii="仿宋_GB2312" w:hAnsi="宋体" w:eastAsia="仿宋_GB2312"/>
          <w:b/>
          <w:sz w:val="32"/>
          <w:szCs w:val="32"/>
        </w:rPr>
        <w:cr/>
      </w:r>
    </w:p>
    <w:p w14:paraId="21EFE6B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单位自行设定并经财政部门审核备案后，实施专项项目绩效自评。自评内容主要包括以下两个方面：</w:t>
      </w:r>
      <w:r>
        <w:rPr>
          <w:rFonts w:hint="eastAsia" w:ascii="仿宋_GB2312" w:hAnsi="宋体" w:eastAsia="仿宋_GB2312"/>
          <w:b/>
          <w:sz w:val="32"/>
          <w:szCs w:val="32"/>
        </w:rPr>
        <w:cr/>
      </w:r>
    </w:p>
    <w:p w14:paraId="2CDA9FD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5D9BD5E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r>
        <w:rPr>
          <w:rFonts w:hint="eastAsia" w:ascii="仿宋_GB2312" w:hAnsi="宋体" w:eastAsia="仿宋_GB2312"/>
          <w:b/>
          <w:sz w:val="32"/>
          <w:szCs w:val="32"/>
        </w:rPr>
        <w:cr/>
      </w:r>
    </w:p>
    <w:p w14:paraId="403295D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截止12月30日，2021年污染源在线、国控重点污染源监控、环境应急指挥视频会议系统运维项目及2021年度环境宣传教育项目专项均按照时间计划保质、保量完成。</w:t>
      </w:r>
      <w:r>
        <w:rPr>
          <w:rFonts w:hint="eastAsia" w:ascii="仿宋_GB2312" w:hAnsi="宋体" w:eastAsia="仿宋_GB2312"/>
          <w:b/>
          <w:sz w:val="32"/>
          <w:szCs w:val="32"/>
        </w:rPr>
        <w:cr/>
      </w:r>
    </w:p>
    <w:p w14:paraId="5995E18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p>
    <w:p w14:paraId="7AEBFF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1、资金到位及使用情况</w:t>
      </w:r>
      <w:r>
        <w:rPr>
          <w:rFonts w:hint="eastAsia" w:ascii="仿宋_GB2312" w:hAnsi="宋体" w:eastAsia="仿宋_GB2312"/>
          <w:b/>
          <w:sz w:val="32"/>
          <w:szCs w:val="32"/>
        </w:rPr>
        <w:cr/>
      </w:r>
    </w:p>
    <w:p w14:paraId="1463ACD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涉及专项资金40万元，实际到位40万元，资金到位率100%。截止到2021年12月30日执行39.50万元，执行率98.75%。其中：2021年结转专项资金０万元，实际执行０万元，执行率为０%；2021年新增专项资金40万元，实际执行39.50万元，执行率为98.75%。</w:t>
      </w:r>
      <w:r>
        <w:rPr>
          <w:rFonts w:hint="eastAsia" w:ascii="仿宋_GB2312" w:hAnsi="宋体" w:eastAsia="仿宋_GB2312"/>
          <w:b/>
          <w:sz w:val="32"/>
          <w:szCs w:val="32"/>
        </w:rPr>
        <w:cr/>
      </w:r>
    </w:p>
    <w:p w14:paraId="7F0EA2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2、资金管理情况</w:t>
      </w:r>
      <w:r>
        <w:rPr>
          <w:rFonts w:hint="eastAsia" w:ascii="仿宋_GB2312" w:hAnsi="宋体" w:eastAsia="仿宋_GB2312"/>
          <w:b/>
          <w:sz w:val="32"/>
          <w:szCs w:val="32"/>
        </w:rPr>
        <w:cr/>
      </w:r>
    </w:p>
    <w:p w14:paraId="0F8E81C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执行伊犁州财政局【2014】84号《伊犁州本级项目支出预算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4E93BE5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1A928F6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378271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污染物监控与信息中心，根据2021年２个项目的绩效目标及工作内容，将其细化分工至本单位办公室人员，加强组织领导，明确分工，各司其职，抓好工作目标任务的落实完成，同时年中要求办公室负责人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39FDDBA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2、管理情况</w:t>
      </w:r>
      <w:r>
        <w:rPr>
          <w:rFonts w:hint="eastAsia" w:ascii="仿宋_GB2312" w:hAnsi="宋体" w:eastAsia="仿宋_GB2312"/>
          <w:b/>
          <w:sz w:val="32"/>
          <w:szCs w:val="32"/>
        </w:rPr>
        <w:cr/>
      </w:r>
    </w:p>
    <w:p w14:paraId="49E02E1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伊犁州污染物监控与信息中心，实施的２个项目，由办公室指派专人进行全过程跟踪管理，副主任统筹推进项目实施，单位领导不定期对项目进度进行调度，并对项目质量进行控制。</w:t>
      </w:r>
      <w:r>
        <w:rPr>
          <w:rFonts w:hint="eastAsia" w:ascii="仿宋_GB2312" w:hAnsi="宋体" w:eastAsia="仿宋_GB2312"/>
          <w:b/>
          <w:sz w:val="32"/>
          <w:szCs w:val="32"/>
        </w:rPr>
        <w:cr/>
      </w:r>
    </w:p>
    <w:p w14:paraId="47811F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3、监管情况</w:t>
      </w:r>
      <w:r>
        <w:rPr>
          <w:rFonts w:hint="eastAsia" w:ascii="仿宋_GB2312" w:hAnsi="宋体" w:eastAsia="仿宋_GB2312"/>
          <w:b/>
          <w:sz w:val="32"/>
          <w:szCs w:val="32"/>
        </w:rPr>
        <w:cr/>
      </w:r>
    </w:p>
    <w:p w14:paraId="348B545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办公室从项目实施方案、项目预算、项目建设进度、项目成本、项目验收等环节，全过程对项目进行监管，并向本单位主要领导报告，以推进项目建设和提高项目质量，以发挥资金使用效益。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65C46B5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(四)绩效情况分析</w:t>
      </w:r>
      <w:r>
        <w:rPr>
          <w:rFonts w:hint="eastAsia" w:ascii="仿宋_GB2312" w:hAnsi="宋体" w:eastAsia="仿宋_GB2312"/>
          <w:b/>
          <w:sz w:val="32"/>
          <w:szCs w:val="32"/>
        </w:rPr>
        <w:cr/>
      </w:r>
    </w:p>
    <w:p w14:paraId="286384F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1、成本控制情况</w:t>
      </w:r>
      <w:r>
        <w:rPr>
          <w:rFonts w:hint="eastAsia" w:ascii="仿宋_GB2312" w:hAnsi="宋体" w:eastAsia="仿宋_GB2312"/>
          <w:b/>
          <w:sz w:val="32"/>
          <w:szCs w:val="32"/>
        </w:rPr>
        <w:cr/>
      </w:r>
    </w:p>
    <w:p w14:paraId="39163AA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污染物监控与信息中心，所涉及专项项目均已于专项资金下达后按照资金文件及绩效管理要求设置《项目绩效目标表》。２个专项项目预算总额为40万元，在项目实施过程中，业务人员加强项目管理，合理控制项目成本，截止项目结束，２个项目总成本为39.50万元，不存在超支情况。</w:t>
      </w:r>
      <w:r>
        <w:rPr>
          <w:rFonts w:hint="eastAsia" w:ascii="仿宋_GB2312" w:hAnsi="宋体" w:eastAsia="仿宋_GB2312"/>
          <w:b/>
          <w:sz w:val="32"/>
          <w:szCs w:val="32"/>
        </w:rPr>
        <w:cr/>
      </w:r>
    </w:p>
    <w:p w14:paraId="3708F79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2、成本节约情况</w:t>
      </w:r>
      <w:r>
        <w:rPr>
          <w:rFonts w:hint="eastAsia" w:ascii="仿宋_GB2312" w:hAnsi="宋体" w:eastAsia="仿宋_GB2312"/>
          <w:b/>
          <w:sz w:val="32"/>
          <w:szCs w:val="32"/>
        </w:rPr>
        <w:cr/>
      </w:r>
    </w:p>
    <w:p w14:paraId="05988F0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伊犁州污染物监控与信息中心，所涉及专项项目使用资金比专项项目总预算减少0.50万元，项目节约率为1.25%。</w:t>
      </w:r>
      <w:r>
        <w:rPr>
          <w:rFonts w:hint="eastAsia" w:ascii="仿宋_GB2312" w:hAnsi="宋体" w:eastAsia="仿宋_GB2312"/>
          <w:b/>
          <w:sz w:val="32"/>
          <w:szCs w:val="32"/>
        </w:rPr>
        <w:cr/>
      </w:r>
    </w:p>
    <w:p w14:paraId="2249CD2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177059A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6245DF9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2021年伊犁州污染物监控与信息中心涉及专项项目２个，截止到2021年底，通过专项项目实施过程中的有效监督，我单位按预期完成了２个专项的各项专项任务，项目总体完成率为100%。</w:t>
      </w:r>
      <w:r>
        <w:rPr>
          <w:rFonts w:hint="eastAsia" w:ascii="仿宋_GB2312" w:hAnsi="宋体" w:eastAsia="仿宋_GB2312"/>
          <w:b/>
          <w:sz w:val="32"/>
          <w:szCs w:val="32"/>
        </w:rPr>
        <w:cr/>
      </w:r>
    </w:p>
    <w:p w14:paraId="4D892FC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2、完成质量</w:t>
      </w:r>
      <w:r>
        <w:rPr>
          <w:rFonts w:hint="eastAsia" w:ascii="仿宋_GB2312" w:hAnsi="宋体" w:eastAsia="仿宋_GB2312"/>
          <w:b/>
          <w:sz w:val="32"/>
          <w:szCs w:val="32"/>
        </w:rPr>
        <w:cr/>
      </w:r>
    </w:p>
    <w:p w14:paraId="502D188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２个专项项目完成质量情况如下：</w:t>
      </w:r>
      <w:r>
        <w:rPr>
          <w:rFonts w:hint="eastAsia" w:ascii="仿宋_GB2312" w:hAnsi="宋体" w:eastAsia="仿宋_GB2312"/>
          <w:b/>
          <w:sz w:val="32"/>
          <w:szCs w:val="32"/>
        </w:rPr>
        <w:cr/>
      </w:r>
    </w:p>
    <w:p w14:paraId="37E430C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①2021年污染源在线、国控重点污染源监控、环境应急指挥视频会议系统运维项目目标全部完成。保证了与自治州党委、政府电子公文、信息畅通、网络平台运行，公文和政务信息的正常交换，保障了污染源普查数据上报应用、排污许可证申报、机动车尾气检车数据审核等一系列业务平台的正常运行。污染源在线设备传输率保持在9.66%，有效率保持在100%。做好生态环境局会务、活动音视频保障服务工作，配合各项视屏会议进行音响、投影、影象等设备的调试和使用维护，2021年以来进行维护服务100余次。</w:t>
      </w:r>
      <w:r>
        <w:rPr>
          <w:rFonts w:hint="eastAsia" w:ascii="仿宋_GB2312" w:hAnsi="宋体" w:eastAsia="仿宋_GB2312"/>
          <w:b/>
          <w:sz w:val="32"/>
          <w:szCs w:val="32"/>
        </w:rPr>
        <w:cr/>
      </w:r>
    </w:p>
    <w:p w14:paraId="3827D8E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②2021年环境宣传教育项目目标全部完成。利用“伊犁环保”微信微博公众平台发布了关于扫黑除恶、消防知识、《新疆维吾尔自治区妇女发展纲要》和《新疆维吾尔自治区儿童发展纲要》等知识宣传，同时每天发布“共产党员”微信公众的党史百年天天读的文章内容。组织公众开展“六·五”环境日主题海报素材征集活动。组织公众开展生物多样性保护主题摄影作品征集活动。开展了伊犁州第二次污染源普查公报新闻发布会，每月按时向自治区生态环境厅报送环境宣传教育工作信息。根据生态环境部和生态环境厅关于环保设施和城市污水处理设施向公众开放工作相关要求，对辖区范围内四类开放单位伊犁雅玛渡大桥水质自动监测站、伊宁县污水处理厂、察布查尔锡伯自治县城市生活垃圾填埋场和新疆普惠环境有限公司进行了全覆盖、常态化开放，取得了良好宣传效果。通过线上线下联动，全年环保公众开放日活动7次，线上宣传26次，累计参观达24600余人次。疫情期间4家单位开展环保设施以“云开放”形式传播环保知识，满足公众对开放单位的了解，提高公众环保意识。相关宣传片在“伊犁环保”微博微信政务新媒体不定期展播，以扩大宣传面。</w:t>
      </w:r>
      <w:r>
        <w:rPr>
          <w:rFonts w:hint="eastAsia" w:ascii="仿宋_GB2312" w:hAnsi="宋体" w:eastAsia="仿宋_GB2312"/>
          <w:b/>
          <w:sz w:val="32"/>
          <w:szCs w:val="32"/>
        </w:rPr>
        <w:cr/>
      </w:r>
    </w:p>
    <w:p w14:paraId="3799C48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(六)项目效益性分析</w:t>
      </w:r>
      <w:r>
        <w:rPr>
          <w:rFonts w:hint="eastAsia" w:ascii="仿宋_GB2312" w:hAnsi="宋体" w:eastAsia="仿宋_GB2312"/>
          <w:b/>
          <w:sz w:val="32"/>
          <w:szCs w:val="32"/>
        </w:rPr>
        <w:cr/>
      </w:r>
    </w:p>
    <w:p w14:paraId="610EF42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２个专项项目预期目标完成程度、实施对经济和社会的影响如下</w:t>
      </w:r>
      <w:r>
        <w:rPr>
          <w:rFonts w:hint="eastAsia" w:ascii="仿宋_GB2312" w:hAnsi="宋体" w:eastAsia="仿宋_GB2312"/>
          <w:b/>
          <w:sz w:val="32"/>
          <w:szCs w:val="32"/>
        </w:rPr>
        <w:cr/>
      </w:r>
    </w:p>
    <w:p w14:paraId="36D2475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2021年污染源在线、国控重点污染源监控、环境应急指挥视频会议系统运维项目目标全部完成。保障了污染源普查数据上报应用、排污许可证申报、机动车尾气检车数据审核等一系列业务平台的正常运行。污染源在线设备传输率保持在9.66%，有效率保持在100%。</w:t>
      </w:r>
      <w:r>
        <w:rPr>
          <w:rFonts w:hint="eastAsia" w:ascii="仿宋_GB2312" w:hAnsi="宋体" w:eastAsia="仿宋_GB2312"/>
          <w:b/>
          <w:sz w:val="32"/>
          <w:szCs w:val="32"/>
        </w:rPr>
        <w:cr/>
      </w:r>
    </w:p>
    <w:p w14:paraId="078AF104">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2、2021年环境宣传教育项目目标全部完成。满足公众对开放单位的了解，提高公众环保意识。相关宣传片在“伊犁环保”微博微信政务新媒体不定期展播，以扩大宣传面。</w:t>
      </w:r>
    </w:p>
    <w:p w14:paraId="3F29D59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170210E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四、资产管理情况</w:t>
      </w:r>
    </w:p>
    <w:p w14:paraId="7390A75B">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7E6E86D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202１年我单位资产总额 170.33万元，其中流动资产6.45万元（其中应收</w:t>
      </w:r>
      <w:r>
        <w:rPr>
          <w:rFonts w:hint="eastAsia" w:ascii="仿宋_GB2312" w:hAnsi="宋体" w:eastAsia="仿宋_GB2312"/>
          <w:b/>
          <w:sz w:val="32"/>
          <w:szCs w:val="32"/>
          <w:lang w:val="en-US" w:eastAsia="zh-CN"/>
        </w:rPr>
        <w:t>账</w:t>
      </w:r>
      <w:r>
        <w:rPr>
          <w:rFonts w:hint="eastAsia" w:ascii="仿宋_GB2312" w:hAnsi="宋体" w:eastAsia="仿宋_GB2312"/>
          <w:b/>
          <w:sz w:val="32"/>
          <w:szCs w:val="32"/>
        </w:rPr>
        <w:t>款3.43万元，其他应收款3.02万元），固定资产净值154.08万元（其中：土地、房屋及构筑物12.93万元，占固定资产净值的8.39%；通用设备125.72万元，占固定资产净值的81.59%；专用设备9.62万元，占固定资产净值的6.24%；家具、用具、装具5.82万元，占固定资产净值的3.78%。</w:t>
      </w:r>
    </w:p>
    <w:p w14:paraId="006E992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本年度流动资产6.44万元，比上年减少13.78万元，原因是：其他应收</w:t>
      </w:r>
      <w:r>
        <w:rPr>
          <w:rFonts w:hint="eastAsia" w:ascii="仿宋_GB2312" w:hAnsi="宋体" w:eastAsia="仿宋_GB2312"/>
          <w:b/>
          <w:sz w:val="32"/>
          <w:szCs w:val="32"/>
          <w:lang w:val="en-US" w:eastAsia="zh-CN"/>
        </w:rPr>
        <w:t>账</w:t>
      </w:r>
      <w:r>
        <w:rPr>
          <w:rFonts w:hint="eastAsia" w:ascii="仿宋_GB2312" w:hAnsi="宋体" w:eastAsia="仿宋_GB2312"/>
          <w:b/>
          <w:sz w:val="32"/>
          <w:szCs w:val="32"/>
        </w:rPr>
        <w:t>款支出，以前年度往来余款支出。</w:t>
      </w:r>
    </w:p>
    <w:p w14:paraId="47F25BE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本年度固定资产395.27万元，比上年增加316.10 万元，原因是：将以前年度信息平台建设转入固定资产。</w:t>
      </w:r>
    </w:p>
    <w:p w14:paraId="44C7D51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实际在用固定资产385.94万元，固定资产利用率97.64%。</w:t>
      </w:r>
    </w:p>
    <w:p w14:paraId="4AF3BD2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3F2222D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3FC56281">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65DF342">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0EC92B80">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五、部门单位整体支出绩效情况</w:t>
      </w:r>
      <w:r>
        <w:rPr>
          <w:rFonts w:hint="eastAsia" w:ascii="仿宋_GB2312" w:hAnsi="宋体" w:eastAsia="仿宋_GB2312"/>
          <w:b/>
          <w:sz w:val="32"/>
          <w:szCs w:val="32"/>
        </w:rPr>
        <w:cr/>
      </w:r>
    </w:p>
    <w:p w14:paraId="1C227C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0601F0E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202１年度我单位年初预算安排 161.37万元，年中调整6.6万元，截止12月底支出153.10万元，执行率98.92%。</w:t>
      </w:r>
      <w:r>
        <w:rPr>
          <w:rFonts w:hint="eastAsia" w:ascii="仿宋_GB2312" w:hAnsi="宋体" w:eastAsia="仿宋_GB2312"/>
          <w:b/>
          <w:sz w:val="32"/>
          <w:szCs w:val="32"/>
        </w:rPr>
        <w:cr/>
      </w:r>
    </w:p>
    <w:p w14:paraId="398A9C4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14:paraId="462A7E8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14523B8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14:paraId="73F537B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以来，伊犁州污染物监控与信息中心按照自治区生态环境厅的工作要求和州党委、政府确定的生态环境保护目标任务，按照《“美丽中国，我是行动者”提升公民生态文明意识行动计划（2021-2025）》要求，大力加强生态环境宣传教育和舆论引导，扎实做好污染源监控与信息化建设工作，为持续改善生态环境、建设美丽中国营造了良好的社会氛围和坚实的社会基础。</w:t>
      </w:r>
      <w:r>
        <w:rPr>
          <w:rFonts w:hint="eastAsia" w:ascii="仿宋_GB2312" w:hAnsi="宋体" w:eastAsia="仿宋_GB2312"/>
          <w:b/>
          <w:sz w:val="32"/>
          <w:szCs w:val="32"/>
        </w:rPr>
        <w:cr/>
      </w:r>
    </w:p>
    <w:p w14:paraId="299B936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1、圆满完成环境宣传教育工作</w:t>
      </w:r>
      <w:r>
        <w:rPr>
          <w:rFonts w:hint="eastAsia" w:ascii="仿宋_GB2312" w:hAnsi="宋体" w:eastAsia="仿宋_GB2312"/>
          <w:b/>
          <w:sz w:val="32"/>
          <w:szCs w:val="32"/>
        </w:rPr>
        <w:cr/>
      </w:r>
    </w:p>
    <w:p w14:paraId="2ABC483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利用“伊犁环保”微信微博公众平台发布了关于扫黑除恶、消防知识、《新疆维吾尔自治区妇女发展纲要》和《新疆维吾尔自治区儿童发展纲要》等知识宣传，同时每天发布“共产党员”微信公众的党史百年天天读的文章内容。组织公众开展“六·五”环境日主题海报素材征集活动。组织公众开展生物多样性保护主题摄影作品征集活动。开展了伊犁州第二次污染源普查公报新闻发布会，提升新闻宣传效果。联合局机关党委组织开展自治区生态环境厅歌咏比赛，录制新媒体宣传视频。每月按时向自治区生态环境厅报送环境宣传教育工作信息。</w:t>
      </w:r>
      <w:r>
        <w:rPr>
          <w:rFonts w:hint="eastAsia" w:ascii="仿宋_GB2312" w:hAnsi="宋体" w:eastAsia="仿宋_GB2312"/>
          <w:b/>
          <w:sz w:val="32"/>
          <w:szCs w:val="32"/>
        </w:rPr>
        <w:cr/>
      </w:r>
    </w:p>
    <w:p w14:paraId="6FF5C0B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2、环保设施向公众开放任务提前完成</w:t>
      </w:r>
      <w:r>
        <w:rPr>
          <w:rFonts w:hint="eastAsia" w:ascii="仿宋_GB2312" w:hAnsi="宋体" w:eastAsia="仿宋_GB2312"/>
          <w:b/>
          <w:sz w:val="32"/>
          <w:szCs w:val="32"/>
        </w:rPr>
        <w:cr/>
      </w:r>
    </w:p>
    <w:p w14:paraId="5C42F5C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生态环境部和生态环境厅关于环保设施和城市污水处理设施向公众开放工作相关要求，对辖区范围内四类开放单位伊犁雅玛渡大桥水质自动监测站、伊宁县污水处理厂、察布查尔锡伯自治县城市生活垃圾填埋场和新疆普惠环境有限公司进行了全覆盖、常态化开放，取得了良好宣传效果。全年开展公众日活动开放7次（线上5次，线下2次），线上宣传26次，累计参观达24600余人次。根据项目目标在2021年12月31日前已提前完成开放活动次数。</w:t>
      </w:r>
      <w:r>
        <w:rPr>
          <w:rFonts w:hint="eastAsia" w:ascii="仿宋_GB2312" w:hAnsi="宋体" w:eastAsia="仿宋_GB2312"/>
          <w:b/>
          <w:sz w:val="32"/>
          <w:szCs w:val="32"/>
        </w:rPr>
        <w:cr/>
      </w:r>
    </w:p>
    <w:p w14:paraId="563A85A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3、污染源监控与信息化建设工作成效显著</w:t>
      </w:r>
      <w:r>
        <w:rPr>
          <w:rFonts w:hint="eastAsia" w:ascii="仿宋_GB2312" w:hAnsi="宋体" w:eastAsia="仿宋_GB2312"/>
          <w:b/>
          <w:sz w:val="32"/>
          <w:szCs w:val="32"/>
        </w:rPr>
        <w:cr/>
      </w:r>
    </w:p>
    <w:p w14:paraId="7E672F9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保障了党政网络（电子政务内网、电子政务外网）及环保专网的正常运行，保证与自治州党委、政府电子公文、信息畅通、政府网络平台运行，公文和政务信息的正常交换、与自治州党委、政府间信息畅通。做好环保专网日常维护，保障了污染源普查数据上报应用、排污许可证申报、机动车尾气检车数据审核等一系列业务平台的正常运行。污染源在线设备传输率保持在99.66%，有效率保持在100%。</w:t>
      </w:r>
      <w:r>
        <w:rPr>
          <w:rFonts w:hint="eastAsia" w:ascii="仿宋_GB2312" w:hAnsi="宋体" w:eastAsia="仿宋_GB2312"/>
          <w:b/>
          <w:sz w:val="32"/>
          <w:szCs w:val="32"/>
        </w:rPr>
        <w:cr/>
      </w:r>
    </w:p>
    <w:p w14:paraId="3DB86CF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4、环保设施向公众开放全面达标，群众满意度高</w:t>
      </w:r>
      <w:r>
        <w:rPr>
          <w:rFonts w:hint="eastAsia" w:ascii="仿宋_GB2312" w:hAnsi="宋体" w:eastAsia="仿宋_GB2312"/>
          <w:b/>
          <w:sz w:val="32"/>
          <w:szCs w:val="32"/>
        </w:rPr>
        <w:cr/>
      </w:r>
    </w:p>
    <w:p w14:paraId="53F7F6E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生态环境部和生态环境厅关于环保设施和城市污水处理设施向公众开放工作相关要求，对辖区范围内四类开放单位伊犁雅玛渡大桥水质自动监测站、伊宁县污水处理厂、察布查尔锡伯自治县城市生活垃圾填埋场和新疆普惠环境有限公司进行了全覆盖、常态化开放，取得了良好宣传效果。参观对象有中小学生、市民、教师、企业代表、环保志愿者、媒体记者等群体。疫情期间“云开放”，为了保障疫情期间市民的身心健康，4家单位开展环保设施以“云开放”形式传播环保知识，满足公众对开放单位的了解，提高公众环保意识。</w:t>
      </w:r>
      <w:r>
        <w:rPr>
          <w:rFonts w:hint="eastAsia" w:ascii="仿宋_GB2312" w:hAnsi="宋体" w:eastAsia="仿宋_GB2312"/>
          <w:b/>
          <w:sz w:val="32"/>
          <w:szCs w:val="32"/>
        </w:rPr>
        <w:cr/>
      </w:r>
    </w:p>
    <w:p w14:paraId="00FE7B6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2DBA3F1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污染物监控与信息中心财政资金支出的有效性主要体现在我单位各项工作成效上，一是思想基础进一步夯实，二是环境宣传能力进一步提升，三是运维情况进一步改善，四是宣传效率进一步提高，五是环保公众设施开放进一步推进，七是人民群众环境宣传教育水平进一步增强。</w:t>
      </w:r>
      <w:r>
        <w:rPr>
          <w:rFonts w:hint="eastAsia" w:ascii="仿宋_GB2312" w:hAnsi="宋体" w:eastAsia="仿宋_GB2312"/>
          <w:b/>
          <w:sz w:val="32"/>
          <w:szCs w:val="32"/>
        </w:rPr>
        <w:cr/>
      </w:r>
    </w:p>
    <w:p w14:paraId="5472518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伊犁州污染物监控与信息中心部门单位整体绩效目标共设置一级指标３个，二级指标７个，三级指标17个，详细说明如下</w:t>
      </w:r>
      <w:r>
        <w:rPr>
          <w:rFonts w:hint="eastAsia" w:ascii="仿宋_GB2312" w:hAnsi="宋体" w:eastAsia="仿宋_GB2312"/>
          <w:b/>
          <w:sz w:val="32"/>
          <w:szCs w:val="32"/>
        </w:rPr>
        <w:cr/>
      </w:r>
    </w:p>
    <w:p w14:paraId="2CF71FB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14:paraId="10BF37E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指标1：保障在职人数，指标值：&gt;=10人 ，实际完成值：8人 ，指标完成率80%；</w:t>
      </w:r>
      <w:r>
        <w:rPr>
          <w:rFonts w:hint="eastAsia" w:ascii="仿宋_GB2312" w:hAnsi="宋体" w:eastAsia="仿宋_GB2312"/>
          <w:b/>
          <w:sz w:val="32"/>
          <w:szCs w:val="32"/>
        </w:rPr>
        <w:cr/>
      </w:r>
    </w:p>
    <w:p w14:paraId="3DEB7EA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指标2：在线系统维护数量，指标值：&gt;=１个，实际完成值：3个，指标完成率300%；</w:t>
      </w:r>
      <w:r>
        <w:rPr>
          <w:rFonts w:hint="eastAsia" w:ascii="仿宋_GB2312" w:hAnsi="宋体" w:eastAsia="仿宋_GB2312"/>
          <w:b/>
          <w:sz w:val="32"/>
          <w:szCs w:val="32"/>
        </w:rPr>
        <w:cr/>
      </w:r>
    </w:p>
    <w:p w14:paraId="496C745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指标３：宣传活动次数，指标值：&gt;=4次，实际完成值：7次，指标完成率175%。</w:t>
      </w:r>
      <w:r>
        <w:rPr>
          <w:rFonts w:hint="eastAsia" w:ascii="仿宋_GB2312" w:hAnsi="宋体" w:eastAsia="仿宋_GB2312"/>
          <w:b/>
          <w:sz w:val="32"/>
          <w:szCs w:val="32"/>
        </w:rPr>
        <w:cr/>
      </w:r>
    </w:p>
    <w:p w14:paraId="20EFB60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14:paraId="15AA339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指标1：系统故障率，指标值：&lt;=5%，实际完成值：&lt;=0%，指标完成率100%；</w:t>
      </w:r>
      <w:r>
        <w:rPr>
          <w:rFonts w:hint="eastAsia" w:ascii="仿宋_GB2312" w:hAnsi="宋体" w:eastAsia="仿宋_GB2312"/>
          <w:b/>
          <w:sz w:val="32"/>
          <w:szCs w:val="32"/>
        </w:rPr>
        <w:cr/>
      </w:r>
    </w:p>
    <w:p w14:paraId="162F1AF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指标2：工资及公用经费保障率，指标值：=100%，实际完成值：100% ，指标完成率100%；</w:t>
      </w:r>
      <w:r>
        <w:rPr>
          <w:rFonts w:hint="eastAsia" w:ascii="仿宋_GB2312" w:hAnsi="宋体" w:eastAsia="仿宋_GB2312"/>
          <w:b/>
          <w:sz w:val="32"/>
          <w:szCs w:val="32"/>
        </w:rPr>
        <w:cr/>
      </w:r>
    </w:p>
    <w:p w14:paraId="575BC5B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指标３：本年公众开放日活动参与率，指标值：&gt;=90%，实际完成值：100%，指标完成率111.11%。</w:t>
      </w:r>
      <w:r>
        <w:rPr>
          <w:rFonts w:hint="eastAsia" w:ascii="仿宋_GB2312" w:hAnsi="宋体" w:eastAsia="仿宋_GB2312"/>
          <w:b/>
          <w:sz w:val="32"/>
          <w:szCs w:val="32"/>
        </w:rPr>
        <w:cr/>
      </w:r>
    </w:p>
    <w:p w14:paraId="2B12A54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3ED85D0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指标1：环保公众开放日按时完成率，指标值：=100%，实际完成值：100%，指标完成率100%；</w:t>
      </w:r>
      <w:r>
        <w:rPr>
          <w:rFonts w:hint="eastAsia" w:ascii="仿宋_GB2312" w:hAnsi="宋体" w:eastAsia="仿宋_GB2312"/>
          <w:b/>
          <w:sz w:val="32"/>
          <w:szCs w:val="32"/>
        </w:rPr>
        <w:cr/>
      </w:r>
    </w:p>
    <w:p w14:paraId="5FA6C79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指标2：资金发放及时性，指标值：=100%，实际完成值：100%，指标完成率100%；</w:t>
      </w:r>
      <w:r>
        <w:rPr>
          <w:rFonts w:hint="eastAsia" w:ascii="仿宋_GB2312" w:hAnsi="宋体" w:eastAsia="仿宋_GB2312"/>
          <w:b/>
          <w:sz w:val="32"/>
          <w:szCs w:val="32"/>
        </w:rPr>
        <w:cr/>
      </w:r>
    </w:p>
    <w:p w14:paraId="716FE57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指标３：系统运行维护响应时间，指标值：&lt;=24小时，实际完成值&lt;=0小时，指标完成率100%；</w:t>
      </w:r>
      <w:r>
        <w:rPr>
          <w:rFonts w:hint="eastAsia" w:ascii="仿宋_GB2312" w:hAnsi="宋体" w:eastAsia="仿宋_GB2312"/>
          <w:b/>
          <w:sz w:val="32"/>
          <w:szCs w:val="32"/>
        </w:rPr>
        <w:cr/>
      </w:r>
    </w:p>
    <w:p w14:paraId="42A6C35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指标４：系统故障修复处理时间，指标值：&lt;=1天，实际完成值&lt;=0天，指标完成率100%。</w:t>
      </w:r>
      <w:r>
        <w:rPr>
          <w:rFonts w:hint="eastAsia" w:ascii="仿宋_GB2312" w:hAnsi="宋体" w:eastAsia="仿宋_GB2312"/>
          <w:b/>
          <w:sz w:val="32"/>
          <w:szCs w:val="32"/>
        </w:rPr>
        <w:cr/>
      </w:r>
    </w:p>
    <w:p w14:paraId="43FACE2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14:paraId="6DA1BEE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指标1：人均运转经费数，指标值：&lt;=0.91万元，实际完成值：1.02万元，指标完成率0%；</w:t>
      </w:r>
      <w:r>
        <w:rPr>
          <w:rFonts w:hint="eastAsia" w:ascii="仿宋_GB2312" w:hAnsi="宋体" w:eastAsia="仿宋_GB2312"/>
          <w:b/>
          <w:sz w:val="32"/>
          <w:szCs w:val="32"/>
        </w:rPr>
        <w:cr/>
      </w:r>
    </w:p>
    <w:p w14:paraId="40AA2E2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指标2：人员支出标准 ，指标值：&lt;=11.23万元，实际完成值：11.84万元，指标完成率0%。</w:t>
      </w:r>
      <w:r>
        <w:rPr>
          <w:rFonts w:hint="eastAsia" w:ascii="仿宋_GB2312" w:hAnsi="宋体" w:eastAsia="仿宋_GB2312"/>
          <w:b/>
          <w:sz w:val="32"/>
          <w:szCs w:val="32"/>
        </w:rPr>
        <w:cr/>
      </w:r>
    </w:p>
    <w:p w14:paraId="247766E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14:paraId="6D06E8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指标1：提升环境保护宣传力度，指标值：有效提升 ，实际完成值：有效提升，指标完成率100%。</w:t>
      </w:r>
      <w:r>
        <w:rPr>
          <w:rFonts w:hint="eastAsia" w:ascii="仿宋_GB2312" w:hAnsi="宋体" w:eastAsia="仿宋_GB2312"/>
          <w:b/>
          <w:sz w:val="32"/>
          <w:szCs w:val="32"/>
        </w:rPr>
        <w:cr/>
      </w:r>
    </w:p>
    <w:p w14:paraId="46950FA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14:paraId="67185EC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指标1：国控数据传输使用年限，指标值：&gt;=5年，实际完成值：长期，指标完成率100.00%。</w:t>
      </w:r>
      <w:r>
        <w:rPr>
          <w:rFonts w:hint="eastAsia" w:ascii="仿宋_GB2312" w:hAnsi="宋体" w:eastAsia="仿宋_GB2312"/>
          <w:b/>
          <w:sz w:val="32"/>
          <w:szCs w:val="32"/>
        </w:rPr>
        <w:cr/>
      </w:r>
    </w:p>
    <w:p w14:paraId="4504C64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7、满意度指标：</w:t>
      </w:r>
      <w:r>
        <w:rPr>
          <w:rFonts w:hint="eastAsia" w:ascii="仿宋_GB2312" w:hAnsi="宋体" w:eastAsia="仿宋_GB2312"/>
          <w:b/>
          <w:sz w:val="32"/>
          <w:szCs w:val="32"/>
        </w:rPr>
        <w:cr/>
      </w:r>
    </w:p>
    <w:p w14:paraId="615439E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指标1：系统使用人员，指标值&gt;=95%，实际完成值97.92%，指标完成率103.07%；</w:t>
      </w:r>
      <w:r>
        <w:rPr>
          <w:rFonts w:hint="eastAsia" w:ascii="仿宋_GB2312" w:hAnsi="宋体" w:eastAsia="仿宋_GB2312"/>
          <w:b/>
          <w:sz w:val="32"/>
          <w:szCs w:val="32"/>
        </w:rPr>
        <w:cr/>
      </w:r>
    </w:p>
    <w:p w14:paraId="2CAD17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指标2：参与活动人员满意度，指标值&gt;=70%，实际完成值94.45%，指标完成率103.36%；</w:t>
      </w:r>
      <w:r>
        <w:rPr>
          <w:rFonts w:hint="eastAsia" w:ascii="仿宋_GB2312" w:hAnsi="宋体" w:eastAsia="仿宋_GB2312"/>
          <w:b/>
          <w:sz w:val="32"/>
          <w:szCs w:val="32"/>
        </w:rPr>
        <w:cr/>
      </w:r>
    </w:p>
    <w:p w14:paraId="1B7DAA3F">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指标3：职工满意度，指标值&gt;=95%，实际完成值：100% ，指标完成率105.26%。</w:t>
      </w:r>
    </w:p>
    <w:p w14:paraId="5D9CEC4F">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7EE36EA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六、存在的主要问题</w:t>
      </w:r>
    </w:p>
    <w:p w14:paraId="0C0AAEC4">
      <w:pPr>
        <w:spacing w:line="600" w:lineRule="exact"/>
        <w:ind w:left="648" w:firstLine="643" w:firstLineChars="200"/>
        <w:jc w:val="left"/>
        <w:rPr>
          <w:rFonts w:hint="eastAsia" w:ascii="仿宋_GB2312" w:hAnsi="宋体" w:eastAsia="仿宋_GB2312"/>
          <w:b/>
          <w:sz w:val="32"/>
          <w:szCs w:val="32"/>
          <w:lang w:eastAsia="zh-CN"/>
        </w:rPr>
      </w:pPr>
    </w:p>
    <w:p w14:paraId="0CAC96B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在编制项目支出绩效工作过程中，预算编制工作有待细化，指标体系设置中部分指标不能较好地反映实际工作情况，主要的原因是设置指标时缺乏与业务科室的深度沟通和交流，指标设置仅停留在资金使用层面，与业务层面的融合程度不够。在资金管理方面，项目资金使用的灵活度不高，审批流程严格，因此，资金使用效益有待于进一步提高。</w:t>
      </w:r>
    </w:p>
    <w:p w14:paraId="783F5AF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61D449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七、改进措施和建议</w:t>
      </w:r>
    </w:p>
    <w:p w14:paraId="7A714A9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2FFC8EE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进一步细化收支项目，按项目、按时间、按进度支付基建项目资金，提高资金的使用效益。</w:t>
      </w:r>
    </w:p>
    <w:p w14:paraId="216F03E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4B0289C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w:t>
      </w:r>
    </w:p>
    <w:p w14:paraId="030E905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771F93E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3.选取切实可行、操作性较强的考核指标，建立考核指标的标准模板。</w:t>
      </w:r>
    </w:p>
    <w:p w14:paraId="06766AA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4.加强资金使用部门对绩效评价工作的认识和重视程度，并将评价结果运用于工作始终。</w:t>
      </w:r>
    </w:p>
    <w:p w14:paraId="7C74A63B">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5.同时做好项目实施管理与资金使用的匹配，根据项目实施计划，制定出科学合理的资金计划，不断提高资金使用效率。</w:t>
      </w:r>
    </w:p>
    <w:p w14:paraId="38A6FF03">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2AFD7A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1E4D5537"/>
    <w:rsid w:val="67843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9549</Words>
  <Characters>10188</Characters>
  <Lines>2</Lines>
  <Paragraphs>1</Paragraphs>
  <TotalTime>12</TotalTime>
  <ScaleCrop>false</ScaleCrop>
  <LinksUpToDate>false</LinksUpToDate>
  <CharactersWithSpaces>10296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2025-05-27T11:35:47Z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19A048879C9C41D1B64AFDF44B9758E2_12</vt:lpwstr>
  </property>
  <property fmtid="{D5CDD505-2E9C-101B-9397-08002B2CF9AE}" pid="4" name="KSOTemplateDocerSaveRecord">
    <vt:lpwstr>eyJoZGlkIjoiZTJlNDBmZDg4NzQzM2UxZWE4MWMzYTNmYjU4NjJhMzkiLCJ1c2VySWQiOiIzODc1NDM2MTYifQ==</vt:lpwstr>
  </property>
</Properties>
</file>