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19731">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5F1BDCE5">
      <w:pPr>
        <w:spacing w:line="540" w:lineRule="exact"/>
        <w:jc w:val="center"/>
        <w:rPr>
          <w:rFonts w:ascii="方正小标宋_GBK" w:hAnsi="华文中宋" w:eastAsia="方正小标宋_GBK" w:cs="宋体"/>
          <w:b/>
          <w:kern w:val="0"/>
          <w:sz w:val="48"/>
          <w:szCs w:val="48"/>
        </w:rPr>
      </w:pPr>
    </w:p>
    <w:p w14:paraId="5A607C13">
      <w:pPr>
        <w:spacing w:line="540" w:lineRule="exact"/>
        <w:jc w:val="center"/>
        <w:rPr>
          <w:rFonts w:ascii="方正小标宋_GBK" w:hAnsi="华文中宋" w:eastAsia="方正小标宋_GBK" w:cs="宋体"/>
          <w:b/>
          <w:kern w:val="0"/>
          <w:sz w:val="48"/>
          <w:szCs w:val="48"/>
        </w:rPr>
      </w:pPr>
    </w:p>
    <w:p w14:paraId="61DF8F5F">
      <w:pPr>
        <w:spacing w:line="540" w:lineRule="exact"/>
        <w:jc w:val="center"/>
        <w:rPr>
          <w:rFonts w:ascii="方正小标宋_GBK" w:hAnsi="华文中宋" w:eastAsia="方正小标宋_GBK" w:cs="宋体"/>
          <w:b/>
          <w:kern w:val="0"/>
          <w:sz w:val="48"/>
          <w:szCs w:val="48"/>
        </w:rPr>
      </w:pPr>
    </w:p>
    <w:p w14:paraId="5E99B988">
      <w:pPr>
        <w:spacing w:line="540" w:lineRule="exact"/>
        <w:jc w:val="center"/>
        <w:rPr>
          <w:rFonts w:ascii="方正小标宋_GBK" w:hAnsi="华文中宋" w:eastAsia="方正小标宋_GBK" w:cs="宋体"/>
          <w:b/>
          <w:kern w:val="0"/>
          <w:sz w:val="48"/>
          <w:szCs w:val="48"/>
        </w:rPr>
      </w:pPr>
    </w:p>
    <w:p w14:paraId="4DADD345">
      <w:pPr>
        <w:spacing w:line="540" w:lineRule="exact"/>
        <w:jc w:val="center"/>
        <w:rPr>
          <w:rFonts w:ascii="方正小标宋_GBK" w:hAnsi="华文中宋" w:eastAsia="方正小标宋_GBK" w:cs="宋体"/>
          <w:b/>
          <w:kern w:val="0"/>
          <w:sz w:val="48"/>
          <w:szCs w:val="48"/>
        </w:rPr>
      </w:pPr>
    </w:p>
    <w:p w14:paraId="6C06BA5F">
      <w:pPr>
        <w:spacing w:line="540" w:lineRule="exact"/>
        <w:jc w:val="center"/>
        <w:rPr>
          <w:rFonts w:ascii="方正小标宋_GBK" w:hAnsi="华文中宋" w:eastAsia="方正小标宋_GBK" w:cs="宋体"/>
          <w:b/>
          <w:kern w:val="0"/>
          <w:sz w:val="48"/>
          <w:szCs w:val="48"/>
        </w:rPr>
      </w:pPr>
    </w:p>
    <w:p w14:paraId="5FD849F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5883A3D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04EBAC8">
      <w:pPr>
        <w:spacing w:line="540" w:lineRule="exact"/>
        <w:jc w:val="center"/>
        <w:rPr>
          <w:rFonts w:ascii="华文中宋" w:hAnsi="华文中宋" w:eastAsia="华文中宋" w:cs="宋体"/>
          <w:b/>
          <w:kern w:val="0"/>
          <w:sz w:val="52"/>
          <w:szCs w:val="52"/>
        </w:rPr>
      </w:pPr>
    </w:p>
    <w:p w14:paraId="4C3628E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44E458B">
      <w:pPr>
        <w:spacing w:line="540" w:lineRule="exact"/>
        <w:jc w:val="center"/>
        <w:rPr>
          <w:rFonts w:hAnsi="宋体" w:eastAsia="仿宋_GB2312" w:cs="宋体"/>
          <w:kern w:val="0"/>
          <w:sz w:val="30"/>
          <w:szCs w:val="30"/>
        </w:rPr>
      </w:pPr>
    </w:p>
    <w:p w14:paraId="165871FD">
      <w:pPr>
        <w:spacing w:line="540" w:lineRule="exact"/>
        <w:jc w:val="center"/>
        <w:rPr>
          <w:rFonts w:hAnsi="宋体" w:eastAsia="仿宋_GB2312" w:cs="宋体"/>
          <w:kern w:val="0"/>
          <w:sz w:val="30"/>
          <w:szCs w:val="30"/>
        </w:rPr>
      </w:pPr>
    </w:p>
    <w:p w14:paraId="1E03BB06">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4B61CD0D">
      <w:pPr>
        <w:spacing w:line="540" w:lineRule="exact"/>
        <w:jc w:val="center"/>
        <w:rPr>
          <w:rFonts w:hAnsi="宋体" w:eastAsia="仿宋_GB2312" w:cs="宋体"/>
          <w:kern w:val="0"/>
          <w:sz w:val="30"/>
          <w:szCs w:val="30"/>
        </w:rPr>
      </w:pPr>
    </w:p>
    <w:p w14:paraId="27C12248">
      <w:pPr>
        <w:spacing w:line="540" w:lineRule="exact"/>
        <w:jc w:val="center"/>
        <w:rPr>
          <w:rFonts w:hAnsi="宋体" w:eastAsia="仿宋_GB2312" w:cs="宋体"/>
          <w:kern w:val="0"/>
          <w:sz w:val="30"/>
          <w:szCs w:val="30"/>
        </w:rPr>
      </w:pPr>
    </w:p>
    <w:p w14:paraId="594D2322">
      <w:pPr>
        <w:spacing w:line="540" w:lineRule="exact"/>
        <w:jc w:val="center"/>
        <w:rPr>
          <w:rFonts w:hAnsi="宋体" w:eastAsia="仿宋_GB2312" w:cs="宋体"/>
          <w:kern w:val="0"/>
          <w:sz w:val="30"/>
          <w:szCs w:val="30"/>
        </w:rPr>
      </w:pPr>
    </w:p>
    <w:p w14:paraId="362AEC68">
      <w:pPr>
        <w:spacing w:line="540" w:lineRule="exact"/>
        <w:rPr>
          <w:rFonts w:hAnsi="宋体" w:eastAsia="仿宋_GB2312" w:cs="宋体"/>
          <w:kern w:val="0"/>
          <w:sz w:val="30"/>
          <w:szCs w:val="30"/>
        </w:rPr>
      </w:pPr>
    </w:p>
    <w:p w14:paraId="5F37241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42D5857">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373C8D18">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250E1F58">
      <w:pPr>
        <w:spacing w:line="700" w:lineRule="exact"/>
        <w:jc w:val="left"/>
        <w:rPr>
          <w:rFonts w:hAnsi="宋体" w:eastAsia="仿宋_GB2312" w:cs="宋体"/>
          <w:kern w:val="0"/>
          <w:sz w:val="36"/>
          <w:szCs w:val="36"/>
        </w:rPr>
      </w:pPr>
    </w:p>
    <w:p w14:paraId="4A58EE5B">
      <w:pPr>
        <w:spacing w:line="700" w:lineRule="exact"/>
        <w:jc w:val="left"/>
        <w:rPr>
          <w:rFonts w:hAnsi="宋体" w:eastAsia="仿宋_GB2312" w:cs="宋体"/>
          <w:kern w:val="0"/>
          <w:sz w:val="36"/>
          <w:szCs w:val="36"/>
        </w:rPr>
      </w:pPr>
    </w:p>
    <w:p w14:paraId="42C6E9F1">
      <w:pPr>
        <w:spacing w:line="700" w:lineRule="exact"/>
        <w:jc w:val="left"/>
        <w:rPr>
          <w:rFonts w:hAnsi="宋体" w:eastAsia="仿宋_GB2312" w:cs="宋体"/>
          <w:kern w:val="0"/>
          <w:sz w:val="36"/>
          <w:szCs w:val="36"/>
        </w:rPr>
      </w:pPr>
    </w:p>
    <w:p w14:paraId="2DB67F6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65142D96">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新华医院的前身是1954年成立的伊犁专员公署人民医院。1979年组合成立伊犁州新华医院（结核病治疗专科医院），1985年州、地分开，更名为伊犁地区人民医院，2001年4月伊犁州地合并，再次更名为伊犁州新华医院。是一所集医疗、教学、科研、预防、康复于一体的国家三级甲等综合医院。国家级爱婴医院，北疆唯一一家“微笑列车”唇腭裂修复慈善项目定点医院，自治区包虫病外科手术定点医院，自治区结核病分级诊疗定点医院,自治区结核病耐多药治疗定点医院,嫣然天使基金唇腭裂修复合作医院，同时挂牌“伊犁州直艾滋病抗病毒定点医院”、“伊犁州职业病医院”。先后获得自治区级文明单位、自治区行业作风建设先进集体、伊犁州先进基层党组织、全国抗击新冠肺炎疫情先进集体等荣誉称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2016年3月批复成为三甲医院，2017年10月完成整体搬迁，新院占地面积122亩 , 建筑面积近11万㎡，编制床位800张，在职职工1304人，设置62个科室。医院有4个自治区级重点临床专科（神经外科、内分泌科、急诊科、肺科），1个州级重点临床专科（心血管内科），2个伊犁州质量控制中心（伊犁州传染病专业质量控制中心、伊犁州临床药事专业质量控制中心）。落户伊犁州两大医学中心：伊犁州心脏大血管诊疗中心暨“江苏—伊犁州对口支援医院南京鼓楼医院心胸外科王东进名医工作站”、伊犁州口腔医学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伊犁哈萨克自治州新华医院无下属预算单位，下设  72 个处室，分别是：有17个职能科室：党委办公室、行政办公室、人事老干科、纪检审计科、质管办、医务科、纠风办、护理部、科教科、信息科、财务科、总务科、保卫科、医保科、医学工程部、院感办、核算管理科，55个业务科室：骨一科、骨二科、普外一科、普外二科、普外三科、骨科护理组、普外科护理组、泌尿外科、神经外科、胸外科、耳鼻喉科、口腔科、眼科、妇科、产科、介入科、急诊外科、急诊内科、神经内科、心血管内科、高血 压科、内分泌一科、内分泌二科、呼吸内科、重症医学科、CCU、肾病风湿科、消化内科、肿瘤内科、心理医学科、康复医学科、血液科、肺科、感染科、综合病区、儿科、皮肤科、体检中心、全科医学科、功能科、超声科、病理科、检验科、输血科、放射科、CT室、药剂科、营养科、手术麻醉科、门诊手术室、供应室、住院处、收费处、门诊部、护理配送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（2）2021年伊犁哈萨克自治州新华医院实有在职人员为886人，其中：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行政在职589人（上年579人），同比上年增加10人；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实有离休人员2人（上年2人）,与上年一致。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实有退休人员295人（上年293人）,同比上年增加2人。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我们严格按照相关法律法规以及医院采购管理规定，执行采购流程，极力控制采购成本。其中办公自动化及信息系统类2021年度采购预算为1750万元、后勤保障类2021年采购预算为1120.6万元、医疗设备类2021年度采购预算为3421.637万元。引进大型医疗设备大大提升了诊断结果的正确率和治疗效果，同时也提升了医院的医疗水平。医院作为具有福利性质的机构，其发展必须站在民生的角度上。引进大型医疗设备具有长期效益，是医院改革的必经之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传染病医院医疗设备采购项目采购预算为1607.28万元，信息化建设项目采购预算为680万元。伊犁州传染病医院在新疆有突出的地位和一定的影响力。医院拥有一批优秀的医学科研人员及各领域专家，拥有大量的先进设备，科室非常齐全，技术力量雄厚，面向区域承担疑难重症和重大疾病的诊疗工作，尚有很大的发展空间。随着社会经济发展和人民生活水平的不断提高，伊犁州广大各族群众对卫生保健的需求与日俱增，就医患者数量急剧增加，现有医疗机构及医疗设施已经难以满足当地人民的需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2020年新冠疫情的爆发，让全球对于传染病防治更加看重，值得注意的是，春秋、冬季是传染病的高发期。随着全球人员流动深度、广度的大，传染病的爆发频率和预防难度将远超从前，各地需要提高对疾病预防控制的重视程度，通过加大财政投入、加快改革劳动人事制度依吸引高素质人才等手段。不断完善传染病防控机制和服务体系，预防为主，联防联控，全面提升重大疾病和传染病防治水平，保障经济社会持续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2021年我单位全年预算数为44302.74万元，其中：年初批复的财政拨款为3508.58万元，事业单位经营收入37380万元，年中追加3414.16万元，调整率97.31%。对比上年37730.8万元增加6571.94万元，上升17.42%。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2021年实际决算支出44156.37万元，执行率99.67%，其中：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41241万元，占总支出的93.40％，主要用于本单位正常运转、完成日常工作任务而发生的各项支出。其中：工资福利支出16054.15万元，主要用于在职和离退休人员基本工资、津贴补贴等人员经费。商品和服务支出21685.68万元，主要用于办公费、印刷费、水电费、燃气费、暖气费和其他商品和服务支出。对个人和家庭的补助74.29万元，主要用于离休费、退休费、抚恤金、生活补助等的发放。资本性支出3426.88万元，主要用于购置医疗设备、办公设备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2915.37万元，占总支出的6.60％。其中：2021年自治区科技计划专项资金安排7万元，主要用于miR-223靶向CaSR调控草酸钙肾结石形成的机制研究。州新冠肺炎定点医院上半年运行经费（疫情）安排124.94万元，主要用于州新冠肺炎定点医院办公费、印刷费、水电费、办公设备购置等。州新冠肺炎定点医院疫情防控资金项目安排25.81万元，主要用于采购台式血气分析仪、正压头套系统、正压头套及过滤网、空气压缩机、负压机消毒设备，进行脱卸间改造等。州传染病医院购置办公及信息化设备采购项目安排375.44万元，主要用于采购信息化建设硬件设备、软件、办公用品及家具等。州传染病医院购置办公及信息化设备采购项目安排300万元，主要用于采购信息化建设硬件设备、软件、办公用品及家具等。州传染病医院负压救护车购置项目安排155.6万元，主要用于购置4辆负压救护车。州传染病医院医疗设备购置项目安排1607.28万元，主要用于购置医疗设备。2021年中央重大传染病补助资金项目安排38.4万元，主要用于扩大国家免疫规划、艾滋病防治、结核病防治、包虫病防治、精神卫生与慢性非传染性疾病防治等重大公共卫生服务有关工作。2021年中央重大传染病防控资金项目安排87.7万元，主要用于扩大国家免疫规划、艾滋病防治、结核病防治、包虫病防治、精神卫生与慢性非传染性疾病防治等重大公共卫生服务有关工作。2021年中央医疗服务与保障能力提升（公立医院综合改革）补助项目安排14万元，主要用于深化公立医院综合改革，建立健全现代医院管理制度，协调推进医疗价格、人事薪酬、药品物流医保支付改革，提高医疗卫生服务质量等。2021年中央医疗服务与保障能力提升（公立医院综合改革）补助项目安排103万元，主要用于深化公立医院综合改革，建立健全现代医院管理制度，协调推进医疗价格、人事薪酬、药品物流医保支付改革，提高医疗卫生服务质量等。2021年中央基本公共卫生服务补助项目安排0.2万元，主要用于职业病防治知识宣传工作。2021年自治区基本公共卫生服务补助项目安排30万元，主要用于成立职业病防治中心、放射人员计量仪检测、购买体检信息管理系统等工作。2021年中央医疗服务与保障能力提升（卫生健康人才培养）补助项目安排34万元，主要用于开展住院医师规范化培训、助理全科医生培训、农村定向免费医学生培养等各项卫生健康人才培养工作。2021年中央医疗服务与保障能力提升（卫生健康人才培养培训）补助项目安排12万元，主要用于开展住院医师规范化培训、助理全科医生培训、农村定向免费医学生培养等各项卫生健康人才培养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2666.26万元，重点支出保障率91.46%。其中重点保障项目是州新冠肺炎定点医院上半年运行经费（疫情）、州传染病医院购置办公及信息化设备采购项目、州传染病医院购置办公及信息化设备采购项目、州传染病医院负压救护车购置项目、州传染病医院医疗设备购置项目、2021年中央医疗服务与保障能力提升（公立医院综合改革）补助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（4）本年度我单位全年政府采购预算6555.13万元,实际用于政府采购金额2828.3万元，采购执行率43.15%。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我单位整体支出绩效自评采用成本效益分析法，原因是：通过成本效益分析的提炼，对项目设立的科学性和严谨性，资金分配的合理性和规范性，政策和项目实施的有效性进行充分剖析。结合我单位的综合情况选用评价指标和评分标准，认真进行核实和考评。较为客观的体现了绩效评价主体对绩效的理解和追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涉及对象：本次评价对象是伊犁哈萨克自治州新华医院所有财政资金支出活动。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①基本支出41295万元，主要用于本单位机构正常运转、完成日常工作任务而发生的各项支出。其中：工资福利支出、商品和服务支出、对个人和家庭的补助、资本性支出等。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3007.74万元，主要用于2021年自治区科技计划专项资金、州新冠肺炎定点医院上半年运行经费（疫情）项目、州新冠肺炎定点医院疫情防控资金项目、州传染病医院购置办公及信息化设备采购项目、州传染病医院购置办公及信息化设备采购项目、州传染病医院负压救护车购置项目、州传染病医院医疗设备购置项目、2021年中央重大传染病补助资金项目、2021年中央重大传染病防控资金项目、2021年中央医疗服务与保障能力提升（公立医院综合改革）补助项目、2021年中央基本公共卫生服务补助项目、2021年自治区基本公共卫生服务补助项目、2021年中央医疗服务与保障能力提升（卫生健康人才培养）补助项目等。</w:t>
      </w:r>
      <w:bookmarkStart w:id="0" w:name="_Hlk43849111"/>
      <w:bookmarkEnd w:id="0"/>
    </w:p>
    <w:p w14:paraId="1D160D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6DA646E0">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财政局要求，部门预算及绩效目标在伊犁哈萨克自治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州本级部门支出预算管理办法》相关规定和伊犁哈萨克自治州新华医院《伊犁州伊犁哈萨克自治州新华医院专项资金管理办法》规定流程，资金支出按照我内控体系中设定的流程申报审批进行；项目支出属于政府采购的，按照财政部《政府采购需求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41295万元，实际到位41295万元,实际支出41241万元，占总支出的93.40％，其中：工资福利支出16054.15万元、商品和服务支出21685.68万元、对个人和家庭的补助74.29万元、主要用于基本工资、津贴补贴、奖金、伙食补助、绩效工资、机关事业单位基本养老保险费、职业年金缴费、职工基本医疗保险缴费、其他社会保障缴费、住房公积金、其他工资福利、离休费、退休费、抚恤金、办公费、手续费、水电费、邮电费、暖气费、差旅费、维修维护费、租赁费、培训费、公务接待费、专用材料费、专用燃料费、劳务费、工会经费、公务用车运行维护费、其他商品和服务支出、国内债务付息以及其他日常经营支出等。资本性支出3426.88万元，主要用于购置医疗设备、办公设备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2021年基本支出比上年36108.47万元,增加5132.53万元，上升14.21%，支出上升的主要原因是我单位和传染病医院在编人员增加、政策性调资、人员职称变动调资等导致基本支出增加。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2021年一般公共预算“三公”经费数为3.45万元，其中：因公出国（境）费0万元，公务用车购置0万元，公务用车运行费 3.45万元，公务接待费0万元。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3.45万元，其中：因公出国（境）费增加0万元，主要原因是：本年及上年均未安排预算，公务用车购置增加0万元，主要原因是：本年及上年均未安排预算，公务用车运行费增加3.45万元，主要原因是差额单位没有“三公”经费，今年新增加。公务接待费增加0万元，主要原因是：本年及上年均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2021年预算安排专项资金3007.74万元，实际到位3007.74万元,到位率100.00％,其中:中央转移支付项目资金289.3万元，自治区资金37万元，本级安排2681.44万元。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2915.37万元，占总支出的6.60%，其中2021年专项项目支出比上年30万元增加2885.37万元，上升96.18%。支出上升的主要原因是新增2021年自治区科技计划专项资金、州新冠肺炎定点医院上半年运行经费（疫情）项目、州新冠肺炎定点医院疫情防控资金项目、州传染病医院购置办公及信息化设备采购项目、州传染病医院购置办公及信息化设备采购项目、州传染病医院负压救护车购置项目、州传染病医院医疗设备购置项目、2021年中央重大传染病补助资金项目、2021年中央重大传染病防控资金项目、2021年中央医疗服务与保障能力提升（公立医院综合改革）补助项目、2021年中央基本公共卫生服务补助项目、2021年自治区基本公共卫生服务补助项目、2021年中央医疗服务与保障能力提升（卫生健康人才培养）补助项目等。其中：2021年自治区科技计划专项资金安排7万元，主要用于miR-223靶向CaSR调控草酸钙肾结石形成的机制研究。州新冠肺炎定点医院上半年运行经费（疫情）安排124.94万元，主要用于州新冠肺炎定点医院办公费、印刷费、水电费、办公设备购置等。州新冠肺炎定点医院疫情防控资金项目安排25.81万元，主要用于采购台式血气分析仪、正压头套系统、正压头套及过滤网、空气压缩机、负压机消毒设备，进行脱卸间改造等。州传染病医院购置办公及信息化设备采购项目安排375.44万元，主要用于采购信息化建设硬件设备、软件、办公用品及家具等。州传染病医院购置办公及信息化设备采购项目安排300万元，主要用于采购信息化建设硬件设备、软件、办公用品及家具等。州传染病医院负压救护车购置项目安排155.6万元，主要用于购置4辆负压救护车。州传染病医院医疗设备购置项目安排1607.28万元，主要用于购置医疗设备。2021年中央重大传染病补助资金项目安排38.4万元，主要用于扩大国家免疫规划、艾滋病防治、结核病防治、包虫病防治、精神卫生与慢性非传染性疾病防治等重大公共卫生服务有关工作。2021年中央重大传染病防控资金项目安排87.7万元，主要用于扩大国家免疫规划、艾滋病防治、结核病防治、包虫病防治、精神卫生与慢性非传染性疾病防治等重大公共卫生服务有关工作。2021年中央医疗服务与保障能力提升（公立医院综合改革）补助项目安排14万元，主要用于深化公立医院综合改革，建立健全现代医院管理制度，协调推进医疗价格、人事薪酬、药品物流医保支付改革，提高医疗卫生服务质量等。2021年中央医疗服务与保障能力提升（公立医院综合改革）补助项目安排103万元，主要用于深化公立医院综合改革，建立健全现代医院管理制度，协调推进医疗价格、人事薪酬、药品物流医保支付改革，提高医疗卫生服务质量等。2021年中央基本公共卫生服务补助项目安排0.2万元，主要用于职业病防治知识宣传工作。2021年自治区基本公共卫生服务补助项目安排30万元，主要用于成立职业病防治中心、放射人员计量仪检测、购买体检信息管理系统等工作。2021年中央医疗服务与保障能力提升（卫生健康人才培养）补助项目安排34万元，主要用于开展住院医师规范化培训、助理全科医生培训、农村定向免费医学生培养等各项卫生健康人才培养工作。2021年中央医疗服务与保障能力提升（卫生健康人才培养培训）补助项目安排12万元，主要用于开展住院医师规范化培训、助理全科医生培训、农村定向免费医学生培养等各项卫生健康人才培养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哈萨克自治州新华医院专项资金管理办法》，按照专项资金的实施方案，明确资金用途，按不一样的资金要求具体执行。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（2）建立各项专项资金专帐，做到有据可依，有据可查。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（3）制订了项目实施方案，确保项目顺利实施。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（4）认真组织各项项目验收，确保所有项目按照项目规定完成。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专项资金涉及政府采购项目的，按照局《新疆维吾尔自治区2020-2021年政府集中采购目录和分散采购限额标准》、组织人员制定采购计划，按照财政局采购部门批复，进行公开招标、邀请招标等方式进行。</w:t>
      </w:r>
    </w:p>
    <w:p w14:paraId="6B51192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15557090">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15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截止12月25日，14个项目按照时间计划保质、保量完成，自治区科技计划项目由于是三年期项目，2021年因疫情原因没法正常开展研究，2022年8月之前保证开展研究，按期完成各项工作。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3007.74万元，实际到位3007.74万元，资金到位率100.00%。截止到2021年12月25日执行2915.37万元，执行率96.93%。其中：2021年结转专项资金0万元，实际执行0万元，执行率为0.00%；2021年新增专项资金3007.74万元，实际执行2915.37万元，执行率为96.93%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财预【2015】163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根据2021年15个项目的绩效目标及工作内容，将其细化分工至本单位12个科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伊犁哈萨克自治州新华医院实施的15个项目，由相关业务科室指派专人进行全过程跟踪管理，科室负责人统筹推进项目实施，单位领导不定期对项目进度进行调度，并对项目质量进行控制。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医院行政办公室从项目实施方案、项目预算、项目建设进度、项目成本、项目验收等环节，全过程对项目进行监管，并向本单位主要领导报告，以推进项目建设和提高项目质量，以发挥资金使用效益。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所涉及专项项目均已于专项资金下达后按照资金文件及绩效管理要求设置《项目绩效目标表》。15个专项项目预算总额为3007.74万元，在项目实施过程中，业务人员加强项目管理，合理控制项目成本，截止项目结束，15个项目总成本为2915.37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伊犁哈萨克自治州新华医院，所涉及专项项目使用资金比专项项目总预算减少18.47万元，项目节约率为0.61%。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2021年伊犁哈萨克自治州新华医院共涉及专项项目15个，截止到2021年底，通过专项项目实施过程中的有效监督，我单位按预期完成了15个专项的各项专项任务，项目总体完成率为</w:t>
      </w:r>
      <w:r>
        <w:rPr>
          <w:rFonts w:hint="eastAsia" w:ascii="仿宋_GB2312" w:hAnsi="宋体" w:eastAsia="仿宋_GB2312"/>
          <w:b/>
          <w:sz w:val="32"/>
          <w:szCs w:val="32"/>
        </w:rPr>
        <w:tab/>
      </w:r>
      <w:r>
        <w:rPr>
          <w:rFonts w:hint="eastAsia" w:ascii="仿宋_GB2312" w:hAnsi="宋体" w:eastAsia="仿宋_GB2312"/>
          <w:b/>
          <w:sz w:val="32"/>
          <w:szCs w:val="32"/>
        </w:rPr>
        <w:t>93.32%。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①2021年自治区科技计划项目，完成0.00% 。由于此项目是三年期项目，2021年因疫情原因没法正常开展研究，2022年8月之前保证开展研究，按期完成各项工作。②州新冠肺炎定点医院上半年运行经费（疫情）项目，完成100.00%。③州新冠肺炎定点医院疫情防控资金项目，完成100.00%。④染病医院购置办公及信息化设备采购项目，完成100.00%。⑤州传染病医院购置办公及信息化设备采购项目，完成100.00%。⑥州传染病医院负压救护车购置项目，完成100.00%。⑦州传染病医院医疗设备购置项目，完成100.00%。⑧2021年中央重大传染病补助资金项目，完成100.00%。⑨2021年中央重大传染病防控资金项目，完成100.00%。⑩2021年中央医疗服务与保障能力提升（公立医院综合改革）补助项目，完成100.00%。？2021年中央医疗服务与保障能力提升（公立医院综合改革）补助项目，完成100.00%。？2021年中央基本公共卫生服务补助项目，完成100.00%。？2021年自治区基本公共卫生服务补助项目，完成100.00%。？2021年中央医疗服务与保障能力提升（卫生健康人才培养）补助项目，完成100.00%。？2021年中央医疗服务与保障能力提升（卫生健康人才培养）补助项目，完成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1、2021年自治区科技计划项目，此项目是三年期项目，2021年因疫情原因没法正常开展研究，2022年8月之前保证开展研究，按期完成各项工作。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2、州新冠肺炎定点医院上半年运行经费（疫情）项目，在一定的程度上改善了医疗救治条件，为伊犁州打赢疫情防控阻击战提供了将强的经费保障，取得了良好的社会效益和经济效益。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州新冠肺炎定点医院疫情防控资金项目，此项目提高了医院防控救治能力、改善了医疗救治条件、完善了医院公共服务设施，为伊犁州打赢疫情防控阻击战提供了将强的经费保障，取得了良好的社会效益和经济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州传染病医院购置办公及信息化设备采购项目，主要用于采购信息化建设硬件设备、软件、办公用品及家具等。为伊犁州传染病防控提供了坚强的经费保障。传染病医院是我国医疗不可或缺的一部分，他们的发展关系到人民生命、国家安全，取得了良好的社会效益和经济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州传染病医院购置办公及信息化设备采购项目，主要用于采购信息化建设硬件设备、软件、办公用品及家具等。为伊犁州传染病防控提供了坚强的经费保障。传染病医院是我国医疗不可或缺的一部分，他们的发展关系到人民生命、国家安全取得了良好的社会效益和经济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州传染病医院负压救护车购置项目，为进一步提升医院救治能力购置了4辆负压救护车。新救护车安全性能高、空间宽敞、布局合理，同时配备了很先进的救治设备，提高了传染病医院急诊急救工作的效率，更好的保障了伊犁州人民群众的生命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州传染病医院医疗设备购置项目，引进大型医疗设备大大提升了诊断结果的正确率和治疗效果，同时也提升了医院的医疗水平。医院作为具有福利性质的机构，其发展必须站在民生的角度上。引进大型医疗设备具有长期效益，是医院改革的必经之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2021年中央重大传染病补助资金项目，主要用于扩大国家免疫规划、艾滋病防治、结核病防治、包虫病防治、精神卫生与慢性非传染性疾病防治等重大公共卫生服务有关工作。通过向居民开展健康教育宣传，提高了居民健康意识，改变了不良生活方式，逐步树立起自我健康管理的理念；提高预防接种和而健康管理，减少了主要健康危险因素，预防和控制传染病及慢性病的发生和流行；通过突发公共卫生服务事件的处理，提高了公共卫生服务和突发公共卫生服务应急处置能力，建立起维护居民健康素质有重要的促进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中央重大传染病防控资金项目，主要用于扩大国家免疫规划、艾滋病防治、结核病防治、包虫病防治、精神卫生与慢性非传染性疾病防治等重大公共卫生服务有关工作。通过向居民开展健康教育宣传，提高了居民健康意识，改变了不良生活方式，逐步树立起自我健康管理的理念；提高预防接种和而健康管理，减少了主要健康危险因素，预防和控制传染病及慢性病的发生和流行；通过突发公共卫生服务事件的处理，提高了公共卫生服务和突发公共卫生服务应急处置能力，建立起维护居民健康素质有重要的促进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2021年中央医疗服务与保障能力提升（公立医院综合改革）补助项目，主要用于深化公立医院综合改革，建立健全现代医院管理制度，协调推进医疗价格、人事薪酬、药品物流医保支付改革，提高医疗卫生服务质量等。医院为社会提供医疗服务的质量、数量、服务态度等得到社会认可，医院的社会效益就是公众对医院的评价，医院在老百姓中的威信。本院在当今激烈的市场竞争下与患者连理和谐友善的医患关系，从而真正赢得了老百姓对医院的充分信任和支持。公立医院的经营管理目标应是在讲求社会效益的前提下提高经济效益，医院要想求发展就必须要求得双项效益双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2021年中央医疗服务与保障能力提升（公立医院综合改革）补助项目，主要用于深化公立医院综合改革，建立健全现代医院管理制度，协调推进医疗价格、人事薪酬、药品物流医保支付改革，提高医疗卫生服务质量等。医院为社会提供医疗服务的质量、数量、服务态度等得到社会认可，医院的社会效益就是公众对医院的评价，医院在老百姓中的威信。本院在当今激烈的市场竞争下与患者连理和谐友善的医患关系，从而真正赢得了老百姓对医院的充分信任和支持。公立医院的经营管理目标应是在讲求社会效益的前提下提高经济效益，医院要想求发展就必须要求得双项效益双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2021年中央基本公共卫生服务补助项目，通过向居民开展健康教育宣传，提高了居民健康意识，改变了不良生活方式，逐步树立起自我健康管理的理念；提高预防接种和而健康管理，减少了主要健康危险因素，预防和控制传染病及慢性病的发生和流行；通过突发公共卫生服务事件的处理，提高了公共卫生服务和突发公共卫生服务应急处置能力，建立起维护居民健康素质有重要的促进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13、2021年自治区基本公共卫生服务补助项目，主要用于成立职业病防治中心、放射人员计量仪检测、购买体检信息管理系统等工作。 保障了放射工作人员生命安全，同时促进了基本公共卫生服务的有效发展。它也是公共卫生制度建设的重要组成部分。坚持以大健康理念为引领，打造健康城市，全方位、全生命周期保障人民健康，为居民提供服务、实行项目管理、建立科学考核制度、居民免费享有公共卫生服务的思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2021年中央医疗服务与保障能力提升（卫生健康人才培养）补助项目，主要用于开展住院医师规范化培训、助理全科医生培训、农村定向免费医学生培养等各项卫生健康人才培养工作。卫生健康事业高质量发展，离不开人才引进和支撑。伊犁州健康事业发展到今天，比以往任何时候都要更加渴求人才，“建设卫生强市，打造健康伊犁”，必须汇聚优秀医疗卫生人才一起努力，共同奋斗。培养卫生健康人才项目，对提高医疗卫生技术水平具有积极影响，能产生重大社会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2021年中央医疗服务与保障能力提升（卫生健康人才培养培训）补助项目，。主要用于开展住院医师规范化培训、助理全科医生培训、农村定向免费医学生培养等各项卫生健康人才培养工作。卫生健康事业高质量发展，离不开人才引进和支撑。伊犁州健康事业发展到今天，比以往任何时候都要更加渴求人才，“建设卫生强市，打造健康伊犁”，必须汇聚优秀医疗卫生人才一起努力，共同奋斗。培养卫生健康人才项目，对提高医疗卫生技术水平具有积极影响，能产生重大社会效益。</w:t>
      </w:r>
    </w:p>
    <w:p w14:paraId="1F6C2D8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468DF59C">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四、资产管理情况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83820.02万元，其中流动资产10664.97万元（其中货币资金265.15万元、应收账款7981.68万元、其他应收款118.44万元，存货2270.53、待摊费用29.17万元），固定资产净值70666.66万元（其中：土地、房屋及构筑物57878.52万元，占固定资产净值的81.9%；通用设备2901.51万元，占固定资产净值的4.11%；专用设备9606.81万元，占固定资产净值的13.59%；其他固定资产279.82万元，占固定资产净值的0.4%.）。</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本年度流动资产10664.97万元，比上年减少867.26万元，原因是：应收账款减少。    </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本年度固定资产70666.66万元，比上年增加10890.69万元，原因是：新增了传染病医院和新冠肺炎定点医院医疗设备及办公设备。</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实际在用固定资产70666.66万元，固定资产利用率100%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5989B2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471A0466">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2021年度我单位年初预算安排40888.58万元，年中调整3414.16万元，截止12月底支出44156.37万元，执行率99.67%。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州政府的坚强领导下，按照党委领导下的院长负责制，全院职工团结凝聚,始终坚持以病人为中心，以医疗质量为核心，以患者满意为目标，围绕医院年初发展思路、目标和任务，紧抓疫情防控工作，发挥定点救治医院职责，不断提升持续发展的能力，以拼搏进取的精神、创新的举措、扎实的工作，为州直各族群众展现了一个创新动力强、优质服务好、诊疗环境优的崭新的新华医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业务指标完成情况：2021年，门急诊诊疗总人数397365人次，较2020年同比增长34.4%；出院人次30187，增长2355人次，同比增加8%；手术13293台次，增加1541台次，同比增加13.11%；手术占比25.13%；三四级手术率近60.19%，减少了0.91%，其中四级手术比例24.79 %，增加2.56 %；出院患者平均住院日7.64天，减少1.07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（一）聚焦总目标，打好组合拳，完整准确贯彻新时代治疆方略。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（二）决战脱贫攻坚战，确保如期建成小康社会。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（三）全面贯彻落实疫情防控各项措施，扎实做好定点医院的医疗救治工作。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（四）稳步推进医改及新时期医疗卫生工作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（五）多措并举，不断推进学科建设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（六）加大人才梯队建设，提高科研教学水平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（七）持续加强公立医院党的建设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1.以等级医院复审为契机，持续提升医疗、护理质量，保障患者安全。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对照三级医院评审标准，强化医疗、护理质量和医疗安全管理。重点加强医院重点病种、重点专业、重点专业操作技术的质量控制，切实改善医疗护理质量；坚持“以人为本”的服务宗旨，因病施治，合理检查、合理用药、合理收费，；要依法行医、依法执业，减少医疗安全隐患，努力构建和谐医患关系，不断提高社会效益的同时增加经济效益；加强医疗服务全程监督，认真做好满意度调查工作，通过对病人满意度、表扬或投诉等的调查，对医疗服务质量体系中存在的问题及时做出整改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2.坚持目标导向和问题导向，持续强化医院规范化管理水平。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对照三级医院绩效考核指标，在流程化管理、制度建设、财务管理等方面，查找不足，坚持目标导向和问题导向，进一步提升医院管理水平，提升医院服务质量与工作效率，降低运营成本，树立规范化理念，加强规范化管理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3.强化临床专科建设，巩固深化优势学科，延伸服务能力。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充分发挥南通大学附属医院优势，争取短期援疆资源，加强医院学科建设、人才培养、科研教学等工作。同时，在“王东进名医工作站”、“华西石冰唇腭裂团队合作单位”、自治区优秀专家王发省院长以及消化、神经外科、疼痛科、胸心外科等各级专家、团队的帮扶带动下，持续提升医院综合诊疗能力，进一步提高临床、医技科室的协同配合能力，加快专科联盟等特色专科的建设，以专科建设辐射带动多学科共同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4.进一步加强护理管理，持续提高医院护理服务质量。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以提高护理质量、保证护理安全为准则，落实责任制整体护理，增强主动服务和人文关怀意识，加强与患者的沟通交流，关注患者的不适和诉求。夯实基础护理质量，提高专科护理能力，全面深化以“患者为中心”的服务理念，持续推进优质护理。加强护士培训力度，从细节管理入手，切实落实急危重症患者的基础护理，丰富优质护理服务的内涵，拓展护理延伸服务，积极探索“互联网+护理服务”。通过医联体、对口支援、进修学习、远程培训等方式，帮扶带动县级医院提高护理服务能力，更好</w:t>
      </w:r>
      <w:r>
        <w:rPr>
          <w:rFonts w:hint="eastAsia" w:ascii="仿宋_GB2312" w:hAnsi="宋体" w:eastAsia="仿宋_GB2312"/>
          <w:b/>
          <w:sz w:val="32"/>
          <w:szCs w:val="32"/>
          <w:lang w:val="en-US" w:eastAsia="zh-CN"/>
        </w:rPr>
        <w:t>地</w:t>
      </w:r>
      <w:bookmarkStart w:id="1" w:name="_GoBack"/>
      <w:bookmarkEnd w:id="1"/>
      <w:r>
        <w:rPr>
          <w:rFonts w:hint="eastAsia" w:ascii="仿宋_GB2312" w:hAnsi="宋体" w:eastAsia="仿宋_GB2312"/>
          <w:b/>
          <w:sz w:val="32"/>
          <w:szCs w:val="32"/>
        </w:rPr>
        <w:t>为广大患者提供更加优质便捷有效的服务。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（六）紧密围绕医院发展目标，持续做好医院各类人才分层培养。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围绕医院发展目标，继续拓宽人才培养和引进人才的渠道，采取送出去、引进来的办法，不断提高人员专业素质和技术水平，解决人才供需问题，调整人员结构，为医院的发展提供可靠的人才支撑和技术支持。加强高层次人才队伍建设，在学术交流和科研上采取鼓励和扶持政策。高度重视专科人才培养，实施专科人才培养计划。2021年选派6名主治医师及以上职称的骨干参加援疆项目的骨干人才培养；选派7名主治医师、5名护师赴疆外进行专科进修；选派11名医师、12名护理人员赴疆内三甲医院进修学习。同时，积极引进高层次临床人才，进一步补充重点科室，保障人才优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（七）进一步规范提升教学管理工作，推动科研和新技术、新项目开展。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以不断提升“科、教、研”水平为核心，按照等级医院评审标准和医院发展目标，结合医疗质量安全管理内容，通过一系列科教研活动，促进我院医务人员技术水平的提高，进一步强化全院医务人员对科教工作的重视程度；贯彻落实《关于建立住院医师规范化培训制度的指导意见》，进一步规范住院医师规范化培训工作，严格执行住院医师规范化培训管理的各项制度，落实带教老师管理制度，按照国家卫健委关于住院医师规范化培训大纲要求进行规培，把规培工作纳入科室考核，加强教学查房和科内业务学习的内涵质量，定期开展科室带教工作督查；积极推进医疗技术发展，对各专科制定的新技术和新项目开展计划，力求科研突破和新技术、新项目的开展，加强与上级医院的技术合作，进一步促进新技术、新项目的落地生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（八）坚持公益，创新机制，进一步推动医联体建设体制和机制的完善。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同质化管理要求，建立医联体定期考核制度和数据信息报送制度。进一步完善双向转诊、专科建设、人员带教与培训、检查检验绿色通道、远程会诊、医疗质量管理等制度。不断强化分院的体制管理，分院定期向院党委进行工作汇报，由院党委进行考核。努力实现定期对分院进行专项检查，不断提升分院自身建设的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（九）加大信息化投入，持续推进医院信息化高质量发展。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以等级医院复审为契机，持续加强以电子病历为核心的医院信息化建设。在四级电子病历功能基础上推进五级电子病历功能建设。完成单病种质控信息化管理，进一步规范诊疗行为,提高医疗服务效率,有效控制不合理医疗费用,不断促进医疗服务管理向规范化、专业化、信息化发展方面取得好的效果。加强信息化对医疗质量的控制管理，通过高效、完整、科学的医疗质量评价体系为医院综合实力的提升以及可持续发展提供可靠保障。完成互联网医院建设和血液透析管理系统、体检管理系统、人事管理系统等专科信息化项目建设，依托5G先进技术和信息化管理手段推进医院远程医疗工作的突破，提高医患满意度，努力实现“让信息多跑路、让患者少跑路”的信息高速路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（十）进一步强化医德医风建设，改进服务作风，改善服务水平，提高服务能力。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针对州党委第一巡察组反馈医德医风方面存在的问题，持续整改，增强大局意识和责任意识，积极开展医德医风自评工作，重点从医疗服务质量、服务态度、服务流程、服务收费等四个方面，认真查纠群众深切关注看病就医的问题。全院各科室加强对医疗行业“九不准”学习培训，通过深入细致的学习教育活动，提高全院干部职工对行风建设工作重要性的认识，增强工作的责任感、使命感，以积极进取、奋发有为的态度，努力树立良好的形象，自觉接受全社会的评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重点做好以下工作：一、围绕三级医院复审，推进医院规范化建设，强化医疗质量和医疗安全管理，加强护理质量、护理安全及人力资源管理，巩固深化优质护理服务成果，抓好职能后勤科室精细化管理，进一步做好医联体工作;二、围绕六大中心、六个特色科室，做好重点学科建设和人才培养;三、聚焦总目标，进一步推进平安医院建设工作;四、强化责任担当，进一步加强党风廉政建设;五、履行公立医院的责任，做好对口帮扶工作;六、扎实做好“访惠聚”工作。2.保障部门单位人员发放工资福利支出及运转支出。3.质量管理不断强化，医疗质量持续改进、广泛探索医联体建设，努力缓解基层群众看病难、看好病问题、3、以电子病历和互联网医院建设为抓手，快速推进医院信息化建设、4、提升落实先诊疗后付费及一站式结算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伊犁哈萨克自治州新华医院整体绩效目标共设置一级指标 3个，二级指标7个，三级指标8个，详细说明如下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指标1：保障在职人员人数，指标值：=1175人 ，实际完成值：1236人，指标完成率105.20%；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指标1：资金发放及时性，指标值：&gt;=95% ，实际完成值：100% ，指标完成率105.26%；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指标1：人均支出标准，指标值：&lt;=15.72万元，实际完成值：13.13万元，指标完成率88.00%；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指标2：人均运转经费数，指标值：&lt;=19.08万元，实际完成值：16.37万元，指标完成率90.00%；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指标1：本单位公共服务水平提升情况，指标值：有效提升，实际完成值：有效提升，指标完成率100.00%；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指标1：提高医院服务质量，指标值：有效提高，实际完成值：有效提高，指标完成率100.00%；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指标1：在院职工满意度 ，指标值：&gt;=90%，实际完成值：92.26%，指标完成率102.51%；</w:t>
      </w:r>
    </w:p>
    <w:p w14:paraId="1551BC6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2E0779F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六、存在的主要问题</w:t>
      </w:r>
      <w:r>
        <w:rPr>
          <w:rFonts w:hint="eastAsia" w:ascii="仿宋_GB2312" w:hAnsi="宋体" w:eastAsia="仿宋_GB2312"/>
          <w:b/>
          <w:sz w:val="32"/>
          <w:szCs w:val="32"/>
        </w:rPr>
        <w:br w:type="textWrapping"/>
      </w:r>
      <w:r>
        <w:rPr>
          <w:rFonts w:hint="eastAsia" w:ascii="仿宋_GB2312" w:hAnsi="宋体" w:eastAsia="仿宋_GB2312"/>
          <w:b/>
          <w:sz w:val="32"/>
          <w:szCs w:val="32"/>
        </w:rPr>
        <w:t>思想认识还需进一步提高，当前在进行绩效监控管理工作中重点只放在了数据的统计、填表等浅显表层上，没有深刻认识到绩效监控管理是现代管理的一种有效手段。</w:t>
      </w:r>
    </w:p>
    <w:p w14:paraId="5B341EE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C2F3D58">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七、改进措施和建议</w:t>
      </w:r>
      <w:r>
        <w:rPr>
          <w:rFonts w:hint="eastAsia" w:ascii="仿宋_GB2312" w:hAnsi="宋体" w:eastAsia="仿宋_GB2312"/>
          <w:b/>
          <w:sz w:val="32"/>
          <w:szCs w:val="32"/>
        </w:rPr>
        <w:br w:type="textWrapping"/>
      </w: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1、加快建成全方位、全过程、全覆盖的预算绩效管理体系，实现预算和绩效管理一体化，着力提高资源配置效率和使用效益。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2、推进绩效成本预算管理改革，建立以质量和成本为重要考核内容、以结果导向配置公共资源的管理机制。</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1、强化宣传，加强培训，提高意识，大力加强教育宣传工作力度，树立绩效管理理念及意义。</w:t>
      </w:r>
      <w:r>
        <w:rPr>
          <w:rFonts w:hint="eastAsia" w:ascii="仿宋_GB2312" w:hAnsi="宋体" w:eastAsia="仿宋_GB2312"/>
          <w:b/>
          <w:sz w:val="32"/>
          <w:szCs w:val="32"/>
        </w:rPr>
        <w:br w:type="textWrapping"/>
      </w:r>
      <w:r>
        <w:rPr>
          <w:rFonts w:hint="eastAsia" w:ascii="仿宋_GB2312" w:hAnsi="宋体" w:eastAsia="仿宋_GB2312"/>
          <w:b/>
          <w:sz w:val="32"/>
          <w:szCs w:val="32"/>
        </w:rPr>
        <w:t>2、明确责任，提质增效，以指标明责任，以考评问责任，已改进强责任，推动绩效监控管理工作顺利进行。</w:t>
      </w:r>
    </w:p>
    <w:p w14:paraId="2E62C73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4A895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BBF5BFA"/>
    <w:rsid w:val="524039A5"/>
    <w:rsid w:val="7D9D3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16225</Words>
  <Characters>17413</Characters>
  <Lines>2</Lines>
  <Paragraphs>1</Paragraphs>
  <TotalTime>0</TotalTime>
  <ScaleCrop>false</ScaleCrop>
  <LinksUpToDate>false</LinksUpToDate>
  <CharactersWithSpaces>17460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2025-05-20T03:25:30Z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7EF3CDA1D7244B9A9FCF4ECC08EDCA00</vt:lpwstr>
  </property>
  <property fmtid="{D5CDD505-2E9C-101B-9397-08002B2CF9AE}" pid="4" name="KSOTemplateDocerSaveRecord">
    <vt:lpwstr>eyJoZGlkIjoiZTJlNDBmZDg4NzQzM2UxZWE4MWMzYTNmYjU4NjJhMzkiLCJ1c2VySWQiOiIzODc1NDM2MTYifQ==</vt:lpwstr>
  </property>
</Properties>
</file>