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175B3F9" w14:textId="77777777" w:rsidR="00340E58" w:rsidRDefault="00340E58" w:rsidP="00340E58">
      <w:pPr>
        <w:widowControl/>
        <w:jc w:val="left"/>
        <w:rPr>
          <w:rFonts w:ascii="黑体" w:eastAsia="黑体" w:hAnsi="黑体" w:cs="宋体"/>
          <w:color w:val="333333"/>
          <w:sz w:val="32"/>
          <w:szCs w:val="32"/>
          <w:lang w:bidi="ar"/>
        </w:rPr>
      </w:pPr>
      <w:r>
        <w:rPr>
          <w:rFonts w:ascii="黑体" w:eastAsia="黑体" w:hAnsi="黑体" w:cs="宋体" w:hint="eastAsia"/>
          <w:color w:val="333333"/>
          <w:sz w:val="32"/>
          <w:szCs w:val="32"/>
          <w:lang w:bidi="ar"/>
        </w:rPr>
        <w:t>附件4：</w:t>
      </w:r>
    </w:p>
    <w:p w14:paraId="2B863724"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56FE3831"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71BEA104"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393401E7"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1B39C0AE"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11A18AD0"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7D56F87E" w14:textId="77777777" w:rsidR="00340E58" w:rsidRDefault="00340E58" w:rsidP="00340E58">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自治区本级部门单位整体支出绩效</w:t>
      </w:r>
    </w:p>
    <w:p w14:paraId="0C87FD0D" w14:textId="77777777" w:rsidR="00340E58" w:rsidRDefault="00340E58" w:rsidP="00340E58">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自评报告</w:t>
      </w:r>
    </w:p>
    <w:p w14:paraId="58039830" w14:textId="77777777" w:rsidR="00340E58" w:rsidRDefault="00340E58" w:rsidP="00340E58">
      <w:pPr>
        <w:spacing w:line="540" w:lineRule="exact"/>
        <w:jc w:val="center"/>
        <w:rPr>
          <w:rFonts w:ascii="华文中宋" w:eastAsia="华文中宋" w:hAnsi="华文中宋" w:cs="宋体"/>
          <w:b/>
          <w:kern w:val="0"/>
          <w:sz w:val="52"/>
          <w:szCs w:val="52"/>
        </w:rPr>
      </w:pPr>
    </w:p>
    <w:p w14:paraId="1CF259AF" w14:textId="1D2CF3A4" w:rsidR="00340E58" w:rsidRDefault="00340E58" w:rsidP="00340E58">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sidR="00584481" w:rsidRPr="00E8616A">
        <w:rPr>
          <w:rFonts w:ascii="仿宋_GB2312" w:eastAsia="仿宋_GB2312" w:hAnsi="宋体" w:hint="eastAsia"/>
          <w:b/>
          <w:sz w:val="32"/>
          <w:szCs w:val="32"/>
        </w:rPr>
        <w:t>2021</w:t>
      </w:r>
      <w:proofErr w:type="spellStart"/>
      <w:proofErr w:type="spellEnd"/>
      <w:r>
        <w:rPr>
          <w:rFonts w:eastAsia="仿宋_GB2312" w:hAnsi="宋体" w:cs="宋体" w:hint="eastAsia"/>
          <w:kern w:val="0"/>
          <w:sz w:val="36"/>
          <w:szCs w:val="36"/>
        </w:rPr>
        <w:t>年度）</w:t>
      </w:r>
    </w:p>
    <w:p w14:paraId="186745CD" w14:textId="77777777" w:rsidR="00340E58" w:rsidRDefault="00340E58" w:rsidP="00340E58">
      <w:pPr>
        <w:spacing w:line="540" w:lineRule="exact"/>
        <w:jc w:val="center"/>
        <w:rPr>
          <w:rFonts w:eastAsia="仿宋_GB2312" w:hAnsi="宋体" w:cs="宋体"/>
          <w:kern w:val="0"/>
          <w:sz w:val="30"/>
          <w:szCs w:val="30"/>
        </w:rPr>
      </w:pPr>
    </w:p>
    <w:p w14:paraId="4CED77EE" w14:textId="77777777" w:rsidR="00340E58" w:rsidRPr="00653C1A" w:rsidRDefault="00340E58" w:rsidP="00340E58">
      <w:pPr>
        <w:spacing w:line="540" w:lineRule="exact"/>
        <w:jc w:val="center"/>
        <w:rPr>
          <w:rFonts w:eastAsia="仿宋_GB2312" w:hAnsi="宋体" w:cs="宋体"/>
          <w:kern w:val="0"/>
          <w:sz w:val="30"/>
          <w:szCs w:val="30"/>
        </w:rPr>
      </w:pPr>
    </w:p>
    <w:p w14:paraId="4D1EB09D" w14:textId="77777777" w:rsidR="00340E58" w:rsidRDefault="00340E58" w:rsidP="00340E58">
      <w:pPr>
        <w:spacing w:line="540" w:lineRule="exact"/>
        <w:jc w:val="center"/>
        <w:rPr>
          <w:rFonts w:ascii="方正小标宋_GBK" w:eastAsia="方正小标宋_GBK" w:hAnsi="宋体" w:cs="宋体"/>
          <w:kern w:val="0"/>
          <w:sz w:val="36"/>
          <w:szCs w:val="36"/>
        </w:rPr>
      </w:pPr>
      <w:r>
        <w:rPr>
          <w:rFonts w:ascii="方正小标宋_GBK" w:eastAsia="方正小标宋_GBK" w:hAnsi="宋体" w:cs="宋体" w:hint="eastAsia"/>
          <w:kern w:val="0"/>
          <w:sz w:val="36"/>
          <w:szCs w:val="36"/>
        </w:rPr>
        <w:t>参考模板</w:t>
      </w:r>
    </w:p>
    <w:p w14:paraId="2D6A57FE" w14:textId="77777777" w:rsidR="00340E58" w:rsidRDefault="00340E58" w:rsidP="00340E58">
      <w:pPr>
        <w:spacing w:line="540" w:lineRule="exact"/>
        <w:jc w:val="center"/>
        <w:rPr>
          <w:rFonts w:eastAsia="仿宋_GB2312" w:hAnsi="宋体" w:cs="宋体"/>
          <w:kern w:val="0"/>
          <w:sz w:val="30"/>
          <w:szCs w:val="30"/>
        </w:rPr>
      </w:pPr>
    </w:p>
    <w:p w14:paraId="63BE86C2" w14:textId="77777777" w:rsidR="00340E58" w:rsidRDefault="00340E58" w:rsidP="00340E58">
      <w:pPr>
        <w:spacing w:line="540" w:lineRule="exact"/>
        <w:jc w:val="center"/>
        <w:rPr>
          <w:rFonts w:eastAsia="仿宋_GB2312" w:hAnsi="宋体" w:cs="宋体"/>
          <w:kern w:val="0"/>
          <w:sz w:val="30"/>
          <w:szCs w:val="30"/>
        </w:rPr>
      </w:pPr>
    </w:p>
    <w:p w14:paraId="1F44B85D" w14:textId="77777777" w:rsidR="00340E58" w:rsidRDefault="00340E58" w:rsidP="00340E58">
      <w:pPr>
        <w:spacing w:line="540" w:lineRule="exact"/>
        <w:jc w:val="center"/>
        <w:rPr>
          <w:rFonts w:eastAsia="仿宋_GB2312" w:hAnsi="宋体" w:cs="宋体"/>
          <w:kern w:val="0"/>
          <w:sz w:val="30"/>
          <w:szCs w:val="30"/>
        </w:rPr>
      </w:pPr>
    </w:p>
    <w:p w14:paraId="2A61933D" w14:textId="77777777" w:rsidR="00340E58" w:rsidRDefault="00340E58" w:rsidP="00340E58">
      <w:pPr>
        <w:spacing w:line="540" w:lineRule="exact"/>
        <w:rPr>
          <w:rFonts w:eastAsia="仿宋_GB2312" w:hAnsi="宋体" w:cs="宋体"/>
          <w:kern w:val="0"/>
          <w:sz w:val="30"/>
          <w:szCs w:val="30"/>
        </w:rPr>
      </w:pPr>
    </w:p>
    <w:p w14:paraId="7C5A61A0" w14:textId="77777777" w:rsidR="00340E58" w:rsidRDefault="00340E58" w:rsidP="00340E58">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14:paraId="3260287E" w14:textId="77777777" w:rsidR="00340E58" w:rsidRDefault="00340E58" w:rsidP="00340E58">
      <w:pPr>
        <w:spacing w:line="700" w:lineRule="exact"/>
        <w:ind w:firstLineChars="236" w:firstLine="850"/>
        <w:jc w:val="left"/>
        <w:rPr>
          <w:rFonts w:eastAsia="仿宋_GB2312" w:hAnsi="宋体" w:cs="宋体"/>
          <w:kern w:val="0"/>
          <w:sz w:val="36"/>
          <w:szCs w:val="36"/>
        </w:rPr>
      </w:pPr>
      <w:r>
        <w:rPr>
          <w:rFonts w:eastAsia="仿宋_GB2312" w:hAnsi="宋体" w:cs="宋体" w:hint="eastAsia"/>
          <w:kern w:val="0"/>
          <w:sz w:val="36"/>
          <w:szCs w:val="36"/>
        </w:rPr>
        <w:t>部门单位名称（公章）：</w:t>
      </w:r>
    </w:p>
    <w:p w14:paraId="2DFE3CDF" w14:textId="77777777" w:rsidR="00340E58" w:rsidRDefault="00340E58" w:rsidP="00340E58">
      <w:pPr>
        <w:spacing w:line="700" w:lineRule="exact"/>
        <w:ind w:firstLineChars="236" w:firstLine="850"/>
        <w:jc w:val="left"/>
        <w:rPr>
          <w:rFonts w:eastAsia="仿宋_GB2312" w:hAnsi="宋体" w:cs="宋体"/>
          <w:kern w:val="0"/>
          <w:sz w:val="36"/>
          <w:szCs w:val="36"/>
        </w:rPr>
      </w:pPr>
      <w:r>
        <w:rPr>
          <w:rFonts w:eastAsia="仿宋_GB2312" w:hAnsi="宋体" w:cs="宋体" w:hint="eastAsia"/>
          <w:kern w:val="0"/>
          <w:sz w:val="36"/>
          <w:szCs w:val="36"/>
        </w:rPr>
        <w:t>填报时间：</w:t>
      </w:r>
      <w:r>
        <w:rPr>
          <w:rFonts w:eastAsia="仿宋_GB2312" w:hAnsi="宋体" w:cs="宋体" w:hint="eastAsia"/>
          <w:kern w:val="0"/>
          <w:sz w:val="36"/>
          <w:szCs w:val="36"/>
        </w:rPr>
        <w:t xml:space="preserve">     </w:t>
      </w:r>
      <w:r>
        <w:rPr>
          <w:rFonts w:eastAsia="仿宋_GB2312" w:hAnsi="宋体" w:cs="宋体" w:hint="eastAsia"/>
          <w:kern w:val="0"/>
          <w:sz w:val="36"/>
          <w:szCs w:val="36"/>
        </w:rPr>
        <w:t>年</w:t>
      </w:r>
      <w:r>
        <w:rPr>
          <w:rFonts w:eastAsia="仿宋_GB2312" w:hAnsi="宋体" w:cs="宋体" w:hint="eastAsia"/>
          <w:kern w:val="0"/>
          <w:sz w:val="36"/>
          <w:szCs w:val="36"/>
        </w:rPr>
        <w:t xml:space="preserve">     </w:t>
      </w:r>
      <w:r>
        <w:rPr>
          <w:rFonts w:eastAsia="仿宋_GB2312" w:hAnsi="宋体" w:cs="宋体" w:hint="eastAsia"/>
          <w:kern w:val="0"/>
          <w:sz w:val="36"/>
          <w:szCs w:val="36"/>
        </w:rPr>
        <w:t>月</w:t>
      </w:r>
      <w:r>
        <w:rPr>
          <w:rFonts w:eastAsia="仿宋_GB2312" w:hAnsi="宋体" w:cs="宋体" w:hint="eastAsia"/>
          <w:kern w:val="0"/>
          <w:sz w:val="36"/>
          <w:szCs w:val="36"/>
        </w:rPr>
        <w:t xml:space="preserve">     </w:t>
      </w:r>
      <w:r>
        <w:rPr>
          <w:rFonts w:eastAsia="仿宋_GB2312" w:hAnsi="宋体" w:cs="宋体" w:hint="eastAsia"/>
          <w:kern w:val="0"/>
          <w:sz w:val="36"/>
          <w:szCs w:val="36"/>
        </w:rPr>
        <w:t>日</w:t>
      </w:r>
    </w:p>
    <w:p w14:paraId="0D71FB5A" w14:textId="4CFF04A3" w:rsidR="00340E58" w:rsidRDefault="00340E58" w:rsidP="00340E58">
      <w:pPr>
        <w:spacing w:line="700" w:lineRule="exact"/>
        <w:jc w:val="left"/>
        <w:rPr>
          <w:rFonts w:eastAsia="仿宋_GB2312" w:hAnsi="宋体" w:cs="宋体"/>
          <w:kern w:val="0"/>
          <w:sz w:val="36"/>
          <w:szCs w:val="36"/>
        </w:rPr>
      </w:pPr>
    </w:p>
    <w:p w14:paraId="6E61B129" w14:textId="34D66AD4" w:rsidR="001C7F2C" w:rsidRDefault="001C7F2C" w:rsidP="00340E58">
      <w:pPr>
        <w:spacing w:line="700" w:lineRule="exact"/>
        <w:jc w:val="left"/>
        <w:rPr>
          <w:rFonts w:eastAsia="仿宋_GB2312" w:hAnsi="宋体" w:cs="宋体"/>
          <w:kern w:val="0"/>
          <w:sz w:val="36"/>
          <w:szCs w:val="36"/>
        </w:rPr>
      </w:pPr>
    </w:p>
    <w:p w14:paraId="20CD2773" w14:textId="77777777" w:rsidR="001C7F2C" w:rsidRDefault="001C7F2C" w:rsidP="00340E58">
      <w:pPr>
        <w:spacing w:line="700" w:lineRule="exact"/>
        <w:jc w:val="left"/>
        <w:rPr>
          <w:rFonts w:eastAsia="仿宋_GB2312" w:hAnsi="宋体" w:cs="宋体"/>
          <w:kern w:val="0"/>
          <w:sz w:val="36"/>
          <w:szCs w:val="36"/>
        </w:rPr>
      </w:pPr>
    </w:p>
    <w:p w14:paraId="68C451FB" w14:textId="03C88F19"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基本概况</w:t>
      </w:r>
    </w:p>
    <w:p w14:paraId="40265AFE" w14:textId="0AADA328" w:rsidR="00E8616A" w:rsidRPr="007E47F4" w:rsidRDefault="00E8616A" w:rsidP="007E47F4">
      <w:pPr>
        <w:spacing w:line="600" w:lineRule="exact"/>
        <w:ind w:left="648" w:firstLineChars="200" w:firstLine="643"/>
        <w:jc w:val="left"/>
        <w:rPr>
          <w:rFonts w:ascii="仿宋_GB2312" w:eastAsia="仿宋_GB2312" w:hAnsi="宋体" w:hint="eastAsia"/>
          <w:b/>
          <w:sz w:val="32"/>
          <w:szCs w:val="32"/>
        </w:rPr>
      </w:pPr>
      <w:r w:rsidRPr="00E8616A">
        <w:rPr>
          <w:rFonts w:ascii="仿宋_GB2312" w:eastAsia="仿宋_GB2312" w:hAnsi="宋体" w:hint="eastAsia"/>
          <w:b/>
          <w:sz w:val="32"/>
          <w:szCs w:val="32"/>
        </w:rPr>
        <w:t>（一）部门单位基本情况</w:t>
        <w:br/>
        <w:t>1、主要职能</w:t>
        <w:br/>
        <w:t>伊犁州教育局的主要职能是全面贯彻执行党和国家有关教育工作的方针政策、法律、法规，拟订自治州教育改革与发展的政策和规划，起草有关法规规章和管理办法并监督实施。负责各级各类教育的统筹规划和综合协调，制定教育事业规划和计划，确定教育事业发展重点、规模、速度和步骤，指导各级各类学校的教育教学改革；负责教育基本信息的统计、分析和发布。负责国家通用语言文字宣传规划、规范推广、普及应用等工作，负责国家通用语言文字的社会学习、普及学习和再培养培训。会同相关部门编制自治州级教育经费和项目预算，规划实施并监督管理。拟订教育经费筹措、管理和学生资助的政策。协调指导各级各类学校家庭经济困难学生资助管理工作。指导各级各类学校的思想政治建设和德育工作、体育卫生艺术教育、劳动实践教育和科学教育，协助有关部门做好学校国防教育和军训工作。指导教育系统单位、各级各类学校的安全稳定。做好应急协调和维稳措施的督促落实工作。负责义务教育的指导和协调，推进义务教育均衡发展，促进教育公平。指导普通高中教育、学前教育、特殊教育和民办教育工作。统筹指导职业教育发展改革和职业指导工作。参与拟定毕业生就业政策，指导开展就业创业工作。指导教育系统人才队伍建设，主管教师培养规划和组织实施工作。负责教师资格认定等工作。负责管理学历教育及其考试工作。规划指导管理继续教育、成人教育工作。指导教育系统的自然科学、社会科学、高新技术研究、科技成果转化和教育信息化工作。负责教育系统涉外项目和事务的组织实施和协调联系。负责民族语言文字规范化、标准化、信息化工作。负责民族语言文字改革工作。负责有关民族语言文字监测、研究、科研和文化保护工作。承担民族语言文字翻译专业人才规划和培养培训工作。组织民族语言文字翻译职称评定工作。制定教育督导计划和评估方案，并进行指导、监督、检查、评估。承担自治州人民政府教育督导委员会的具体工作。完成自治州党委、自治州人民政府交办的其他任务。</w:t>
        <w:br/>
        <w:t>2、机构人员构成</w:t>
        <w:br/>
        <w:t>（1）组织机构设置：</w:t>
        <w:br/>
        <w:t>伊犁州教育局无下属预算单位，下设15个处室，分别是：分别是：局办公室、发展规划处、基础教育处、职业与成人教育处、维稳工作处、教育督导处、教师（人事)工作处（离退休干部工作处）、语言文字信息管理处8个行政处室及机关党委，伊犁州教育教学研究室、伊犁州教育考试中心、伊犁州教师培训部、伊犁州电化教育馆、伊犁州教育条件装备中心、伊犁州哈萨克语言文字研究室、伊犁州学生资助管理中心7个事业处室。</w:t>
        <w:br/>
        <w:t>（2）2021年伊犁州教育局实有在职人员为108人，其中：</w:t>
        <w:br/>
        <w:t>行政在职27人（上年28人），同比上年减少1 人；</w:t>
        <w:br/>
        <w:t>实有离休人员0人（上年0人）, 与上年一致。</w:t>
        <w:br/>
        <w:t>实有退休人员148人（上年145人）, 同比上年增加3人。</w:t>
        <w:br/>
        <w:t>3、重点工作计划</w:t>
        <w:br/>
        <w:t>（1）人员保障工作，计划投入1569.54万元，保障部门单位人员发放工资福利支出及对个人和家庭补助。</w:t>
        <w:br/>
        <w:t>（2）运转保障工作，计划投入204.59万元，用于日常办公费、取暖费、三公经费、工会经费、福利费及其它商品和服务支出。</w:t>
        <w:br/>
        <w:t>（3）教师招聘保障项目，计划投入20万元，用足用好教师招聘政策，打通州县两级招聘渠道，主动吸纳疆内外优质教师资源，有效补充教师队伍。</w:t>
        <w:br/>
        <w:t>（4）中小学和幼儿园培训项目，计划投入22万元，组织州直各县中小学和幼儿园教师参加考核，提升州直教师教学能力和信息技术应用能力。</w:t>
        <w:br/>
        <w:t>（5）州直教师系列职称评审保障项目，计划投入19元，为进一步深化职称制度改革，规范职称评审管理，保证职称评审质量。</w:t>
        <w:br/>
        <w:t>（6）中高考考试考务费项目，计划投入242万元，保障国家级、自治区级、自治州级的各类考试正常开展。</w:t>
        <w:br/>
        <w:t>（7）政府采购办公设备工作，计划投入168.36万元，其中财政拨款109.92，单位自筹资金58.44万元，为进一步提高各类国家级自治区教育考试工作的质量，充分利用现代科技手段为各类教育考试的公平公正提供技术保障。购置办公设备，改善办公条件。</w:t>
        <w:br/>
        <w:t>（二）部门单位整体支出规模、使用方法和主要内容、涉及对象及范围等</w:t>
        <w:br/>
        <w:t>1、部门单位整体支出规模</w:t>
        <w:br/>
        <w:t>2021年批复州教育局预算为2255.05万元，其中：财政拨款为2013.05万元，教育收费（财政专户）242万元，年中追加142.15万元，调整率6.99%。对比上年2133.36元,增加263.84万元，上升12.37%。</w:t>
        <w:br/>
        <w:t>2021年实际决算支出2397.2万元，执行率100%，其中：</w:t>
        <w:br/>
        <w:t>（1）基本支出1872.97万元，占总支出的78.13％，主要用于本局机构正常运转、完成日常工作任务而发生的各项支出。其中：工资福利支出1646.39万元，主要用于在职和离退休人员基本工资、津贴补贴等人员经费。商品和服务支出182.71万元，主要用于办公费、印刷费、水电费、办公设备购置等。对个人和家庭的补助42.24万元，主要用于退休人员统筹外资金、抚恤金、生活补助费等。资本性支出1.63万元，主要用于办公设备购置。  </w:t>
        <w:br/>
        <w:t>（2）项目支出524.23万元，占总支出的21.87％。其中：教师招聘保障项目项目安排20万元，主要用于完成主动吸纳疆内外优质教师资源，有效补充教师队伍；州直教师系列职称评审保障项目项目安排19万元，主要用于职称评审工作；中高考考试考务费项目242万元，保障国家级、自治区级、自治州级的各类考试正常开展；暑期学生运输工作经费安排57万元，主要用于暑期内初、内高班学生安全运输工作；职业教育质量提升项目安排39万元，主要用于进一步提高职业院校“双师型”教师的教育教学能力，培养更多社会经济需求的技能人才；更换电梯项目安排25.93万元，主要用于老旧电梯的更换；中小学和幼儿园教师培训考核项目安排22万元，主要用于州直中小学和幼儿园教师培训工作；州级考务指挥平台升级改造项目安排99.3万元，主要用于州级考务指挥平台升级改造。</w:t>
        <w:br/>
        <w:t>（3）本年度重点项目支出 242万元，重点支出保障率100%。其中重点保障项目是中高考考试考务费项目，占项目总支出46.16%。</w:t>
        <w:br/>
        <w:t>（4）本年度我局年初政府采购预算167.26万元,实际用于政府采购金额167.26万元，采购执行率100%。</w:t>
        <w:br/>
        <w:t>2、整体支出评价使用方法和主要内容、涉及对象及范围等</w:t>
        <w:br/>
        <w:t>（1）整体支出评价使用方法</w:t>
        <w:br/>
        <w:t>本次我局整体支出绩效自评采用最低成本法的评价方式、比较法和因素分析方法相结合的方法，以实现最少的投资达到最好的效益。按照预算管理、项目实施的分析路径，结合本单位重点工作相关制度、政策法律和国家发展战略，运用反向竞价、在线询价；原因是：坚持长期、实用和成本效益原则，通过对绩效目标与实施效果、历史与当期情况同类支出的比较，综合分析绩效目标实现程度，把各项绩效指标的实际水平，对照评价标准值，分别计算各项指标评价得分，再按照设定的各项指标权数计算出综合评价得分，分析评价绩效目标实现情况。</w:t>
        <w:br/>
        <w:t>（2）整体支出评价主要内容</w:t>
        <w:br/>
        <w:t>①绩效目标的设定情况。重点评价绩效目标设立的充分性、明确性、合理性以及细化程度。</w:t>
        <w:br/>
        <w:t>②资金投入和使用情况。重点评价资金分配过程、投入方式、资金到位、预算执行和结果。</w:t>
        <w:br/>
        <w:t>③为实现绩效目标制定的制度、采取的措施等。包括项目管理制度、财务管理制度、资产管理制度和绩效跟踪管理措施等。</w:t>
        <w:br/>
        <w:t>④绩效目标的实现程度和效果。绩效目标的实现程度包括产出数量、产出质量、产出时效和产出成本。效果包括经济效益、社会效益、生态效益、可持续影响以及服务对象满意度等。</w:t>
        <w:br/>
        <w:t>（3）整体支出评价涉及对象及范围</w:t>
        <w:br/>
        <w:t>涉及对象：本次评价对象是伊犁州教育局所有财政资金支出活动。</w:t>
        <w:br/>
        <w:t>整体支出评价范围：</w:t>
        <w:br/>
        <w:t>①基本支出1872.97万元，其中：工资福利支出、商品和服务支出、对个人和家庭的补助支出、资本性支出。</w:t>
        <w:br/>
        <w:t>按功能科目分:</w:t>
        <w:br/>
        <w:t>1、205教育支出；</w:t>
        <w:br/>
        <w:t>2、208社会保障和就业；</w:t>
        <w:br/>
        <w:t>3、210医疗卫生与保障支出；</w:t>
        <w:br/>
        <w:t>4、221住房保障支出；</w:t>
        <w:br/>
        <w:t>②项目支出524.23万元：教师招聘保障项目项目安排20万元，州直教师系列职称评审保障项目项目安排19万元，中高考考试考务费项目242万元，暑期学生运输工作经费安排57万元，职业教育质量提升项目安排39万元，更换电梯项目安排25.93万元，中小学和幼儿园教师培训考核项目安排22万元，州级考务指挥平台升级改造项目安排99.3万元。</w:t>
      </w:r>
      <w:bookmarkStart w:id="0" w:name="_Hlk43849111"/>
      <w:bookmarkEnd w:id="0"/>
    </w:p>
    <w:p w14:paraId="1FB1F5AB" w14:textId="06EB5EB4"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部门单位整体支出管理及使用情况</w:t>
      </w:r>
    </w:p>
    <w:p w14:paraId="0E9CCC6D" w14:textId="3BB090B7" w:rsidR="00E8616A" w:rsidRPr="00E8616A" w:rsidRDefault="00E8616A" w:rsidP="00E8616A">
      <w:pPr>
        <w:spacing w:line="600" w:lineRule="exact"/>
        <w:ind w:firstLineChars="250" w:firstLine="800"/>
        <w:jc w:val="left"/>
        <w:rPr>
          <w:rFonts w:ascii="仿宋_GB2312" w:eastAsia="仿宋_GB2312" w:hAnsi="宋体"/>
          <w:b/>
          <w:sz w:val="32"/>
          <w:szCs w:val="32"/>
        </w:rPr>
      </w:pPr>
      <w:r>
        <w:rPr>
          <w:rFonts w:ascii="黑体" w:eastAsia="黑体" w:hAnsi="黑体" w:cs="宋体" w:hint="eastAsia"/>
          <w:bCs/>
          <w:color w:val="333333"/>
          <w:sz w:val="32"/>
          <w:szCs w:val="32"/>
          <w:lang w:bidi="ar"/>
        </w:rPr>
        <w:t xml:space="preserve"> </w:t>
      </w:r>
      <w:r>
        <w:rPr>
          <w:rFonts w:ascii="黑体" w:eastAsia="黑体" w:hAnsi="黑体" w:cs="宋体"/>
          <w:bCs/>
          <w:color w:val="333333"/>
          <w:sz w:val="32"/>
          <w:szCs w:val="32"/>
          <w:lang w:bidi="ar"/>
        </w:rPr>
        <w:t xml:space="preserve"> </w:t>
      </w:r>
      <w:r w:rsidR="00DC7E33">
        <w:rPr>
          <w:rFonts w:ascii="黑体" w:eastAsia="黑体" w:hAnsi="黑体" w:cs="宋体"/>
          <w:bCs/>
          <w:color w:val="333333"/>
          <w:sz w:val="32"/>
          <w:szCs w:val="32"/>
          <w:lang w:bidi="ar"/>
        </w:rPr>
        <w:t xml:space="preserve"> </w:t>
      </w:r>
      <w:r>
        <w:rPr>
          <w:rFonts w:ascii="仿宋_GB2312" w:eastAsia="仿宋_GB2312" w:hAnsi="宋体" w:hint="eastAsia"/>
          <w:b/>
          <w:sz w:val="32"/>
          <w:szCs w:val="32"/>
        </w:rPr>
        <w:t>（一）预算管理</w:t>
        <w:br/>
        <w:t>1、预算编制管理</w:t>
        <w:br/>
        <w:t>我局严格按照财政部门预算编制与预算调整的工作要求，在预算编制、分配依据否充分的条件下，切实做好“先定目标再编预算”，确保预算分配结果合理。同时按照伊犁州财政局的相关要求，部门预算及绩效目标在伊犁州政府网公开，广泛接受社会监督。</w:t>
        <w:br/>
        <w:t>2、预算支出管理</w:t>
        <w:br/>
        <w:t>我局按照财政要求基本支出分月度申报资金使用计划，由财政部门按照进度每月按期拨付，人员支出按照工资计划发放工资；依照伊犁州财政局相关规定和流程，资金支出按照我内控体系中设定的流程申报审批进行；项目支出属于政府采购的，按照《伊犁州财政局采购与招标管理办法》组织人员制定采购计划，按照财政局采购部门批复，进行公开招标、邀请招标等方式进行；属于非政府采购的项目，按照“三重一大”制度规定，重大项目支出上党组会研究决定。</w:t>
        <w:br/>
        <w:t>（二）基本支出管理及使用情况</w:t>
        <w:br/>
        <w:t>2021年基本支出预算安排1343.57万元，实际到位1872.97万元,实际支出1872.97万元，占总支出的78.13％，其中：工资福利支出1646.39万元、商品和服务支出182.71万元、对个人和家庭的补助42.24万元、主要用于退休人员统筹外资金、抚恤金、生活补助费等。资本性支出1.63万元。</w:t>
        <w:br/>
        <w:t>2021年基本支出比上年1820.17万元,增加52.8万元，上升2.9%，支出上升主要原因是财政核拨了党组织活动经费。</w:t>
        <w:br/>
        <w:t>2021年一般公共预算“三公”经费数为12.65万元，其中：因公出国（境）费0万元，公务用车购置0万元，公务用车运行费12.65万元，公务接待费0万元。</w:t>
        <w:br/>
        <w:t>2020年一般公共预算“三公”经费比上年增加0 万元，其中：因公出国（境）费增加0 万元，主要原因是未安排预算 ；公务用车购置费为0，未安排预算。公务用车运行费增加0 万元，与上年持平,主要原因是未安排预算.公务接待费增加0万元，主要原因是未安排预算 。</w:t>
        <w:br/>
        <w:t>（三）专项支出管理及使用情况</w:t>
        <w:br/>
        <w:t>1、专项资金安排落实、总投入等情况分析</w:t>
        <w:br/>
        <w:t>2021年预算安排专项资金480.92万元，实际到位524.23万元, 到位率100％,其中:中央转移支付项目资金39万元，自治区资金0万元，本级安排485.23万元。</w:t>
        <w:br/>
        <w:t>2、专项资金实际使用情况</w:t>
        <w:br/>
        <w:t>2021年专项资金支出524.23万元，占总支出的21.87%，其中2021年专项项目支出比上年844.59万元减少320.36万元，下降37.93%。支出减少的主要原因是中高考考试费项目按收入分成自治区的资金不再入本级专户，直接汇缴自治区财政专户。其中：教师招聘保障项目项目安排20万元，主要用于完成主动吸纳疆内外优质教师资源，有效补充教师队伍；州直教师系列职称评审保障项目项目安排19万元，主要用于职称评审工作；中高考考试考务费项目242万元，保障国家级、自治区级、自治州级的各类考试正常开展；暑期学生运输工作经费安排57万元，主要用于暑期内初、内高班学生安全运输工作；职业教育质量提升项目安排39万元，主要用于进一步提高职业院校“双师型”教师的教育教学能力，培养更多社会经济需求的技能人才；更换电梯项目安排25.93万元，主要用于老旧电梯的更换；中小学和幼儿园教师培训考核项目安排22万元，主要用于州直中小学和幼儿园教师培训工作；州级考务指挥平台升级改造项目安排99.3万元，主要用于州级考务指挥平台升级改造。</w:t>
        <w:br/>
        <w:t>3、专项资金管理情况</w:t>
        <w:br/>
        <w:t>为规范专项资金使用，提高专项资金使用效益，我局主要采取四项措施。</w:t>
        <w:br/>
        <w:t>一是制订专项资金管理制度；二是各专项资金建立了专帐；三是制订了项目实施方案；四是认真组织项目验收。切实确保专项资金都做到了专款专用。其中：</w:t>
        <w:br/>
        <w:t>（1）制定了《伊犁教育局预算管理内部控制制度》，《伊犁州教育局财务收支管理内部控制制度》专项资金管理办法，各项资金使用审批流程均按规定办理。涉及“三重一大”内容，严格按照规定提请局党组会审议决定，包括项目资金分配、重大项目确定、大额资金支付等。</w:t>
        <w:br/>
        <w:t>（2）建立项目专项资金专帐，做到有据可依，有据可查。</w:t>
        <w:br/>
        <w:t>（3）制订了2020年自治区职业院校教师素质提高计划专项项目实施方案，确保项目顺利实施。</w:t>
        <w:br/>
        <w:t>（4）认真组织培训项目验收，确保培训质量。</w:t>
        <w:br/>
        <w:t>专项资金涉及政府采购项目的，按照局《伊犁州教育局物资采购与资产管理制度》，组织人员制定采购计划，按照财政局采购部门批复，进行公开招标、邀请招标等方式进行。</w:t>
      </w:r>
    </w:p>
    <w:p w14:paraId="37DCA4AD" w14:textId="72925F4C"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部门单位专项组织实施情况</w:t>
      </w:r>
    </w:p>
    <w:p w14:paraId="745ED414" w14:textId="37185639" w:rsidR="00E8616A" w:rsidRPr="00E8616A" w:rsidRDefault="00E8616A" w:rsidP="00E8616A">
      <w:pPr>
        <w:spacing w:line="600" w:lineRule="exact"/>
        <w:ind w:firstLineChars="250" w:firstLine="800"/>
        <w:jc w:val="left"/>
        <w:rPr>
          <w:rFonts w:ascii="仿宋_GB2312" w:eastAsia="仿宋_GB2312" w:hAnsi="宋体"/>
          <w:b/>
          <w:sz w:val="32"/>
          <w:szCs w:val="32"/>
        </w:rPr>
      </w:pPr>
      <w:r>
        <w:rPr>
          <w:rFonts w:ascii="黑体" w:eastAsia="黑体" w:hAnsi="黑体" w:cs="宋体" w:hint="eastAsia"/>
          <w:bCs/>
          <w:color w:val="333333"/>
          <w:sz w:val="32"/>
          <w:szCs w:val="32"/>
          <w:lang w:bidi="ar"/>
        </w:rPr>
        <w:t xml:space="preserve"> </w:t>
      </w:r>
      <w:r>
        <w:rPr>
          <w:rFonts w:ascii="黑体" w:eastAsia="黑体" w:hAnsi="黑体" w:cs="宋体"/>
          <w:bCs/>
          <w:color w:val="333333"/>
          <w:sz w:val="32"/>
          <w:szCs w:val="32"/>
          <w:lang w:bidi="ar"/>
        </w:rPr>
        <w:t xml:space="preserve"> </w:t>
      </w:r>
      <w:r w:rsidR="00DC7E33">
        <w:rPr>
          <w:rFonts w:ascii="黑体" w:eastAsia="黑体" w:hAnsi="黑体" w:cs="宋体"/>
          <w:bCs/>
          <w:color w:val="333333"/>
          <w:sz w:val="32"/>
          <w:szCs w:val="32"/>
          <w:lang w:bidi="ar"/>
        </w:rPr>
        <w:t xml:space="preserve"> </w:t>
      </w:r>
      <w:r>
        <w:rPr>
          <w:rFonts w:ascii="仿宋_GB2312" w:eastAsia="仿宋_GB2312" w:hAnsi="宋体" w:hint="eastAsia"/>
          <w:b/>
          <w:sz w:val="32"/>
          <w:szCs w:val="32"/>
        </w:rPr>
        <w:t>（一）专项组织情况分析</w:t>
        <w:br/>
        <w:t>1、前期准备</w:t>
        <w:br/>
        <w:t>年初我局下发的专项业务费专项工作计划，对项目的工作分工、任务分配、资金落实、完成时限等提出了明确、具体的要求，以确保项目保质、保量、按时完成。详细如下：收集部门成立背景资料、部门战略目标、中长期工作规划、部门职责、组织构成及其职能、预算编制等资料，并组织绩效评价自评小组对部门相关文件进行研读，梳理并确认工作任务及要求、部门内部管理制度及存量资源。梳理2021年专项资金使用情况和专项项目实施规模，根据各专项实际存档资料，就专项工作计划与部门职能和规划内容、与科室和项目之间的对应关系、重点工作安排与重点项目安排情况等，与相关科室的管理人员进行了沟通和交流，深入了解本部门涉及专项资金的使用情况和项目完成情况。</w:t>
        <w:br/>
        <w:t>2、组织实施</w:t>
        <w:br/>
        <w:t>我局通过文件研读和前期调研等方式，收集、整理、总结部门的职能定位、中长期规划、年度工作计划以及专项项目实施情况。对于专项资金项目下达的绩效目标表，按照下达绩效目标，立足实际完成情况，开展专项项目绩效自评。对于未下达绩效目标表的项目，由我部门自行设定并经财政审核备案后，实施专项项目绩效自评。自评内容主要包括以下两个方面：</w:t>
        <w:br/>
        <w:t>一是对专项项目预算执行情况进行分析，再考察专项项目产出、项目目标的实现程度和管理有效性，从而总结项目取得的业绩和经验，发现项目存在的不足之处。</w:t>
        <w:br/>
        <w:t>二是对财政资金使用合规性进行评价，主要评价：①专项资金是否存在截留、挪用，支付审批是否合规、是否存在用途改变、范围超支和虚列项目支出等情况；②项目实施是否符合专项管理办法，流程和管理制度是否合规；③项目完成情况的真实性和绩效目标完成情况分析。通过评价发现财政资金使用中存在的合规性问题，总结财务内控中存在的不足之处。</w:t>
        <w:br/>
        <w:t>截止12月25日，该专项均按照时间计划保质、保量完成。</w:t>
        <w:br/>
        <w:t>（二）专项管理情况分析</w:t>
        <w:br/>
        <w:t>1、资金到位及使用情况</w:t>
        <w:br/>
        <w:t>2021年涉及专项资金524.23万元，实际到位524.23万元，资金到位率100%。截止到2021年12月25日执行524.23万元，执行率100%。其中：2021年结转专项资金0万元，实际执行0万元，执行率为0%；2021年新增专项资金121.93万元，实际执行121.93万元，执行率为100%。</w:t>
        <w:br/>
        <w:t>2、资金管理情况</w:t>
        <w:br/>
        <w:t>我局严格执行《专项资金管理办法》文件精神要求，加强对专项资金的绩效管理，确保专款专用，提高专项资金使用效益。遵守相关法律法规，严肃财经纪律，自觉接受财政、审计、监察监督检查。</w:t>
        <w:br/>
        <w:t>（三）项目实施情况分析</w:t>
        <w:br/>
        <w:t>1、组织情况</w:t>
        <w:br/>
        <w:t>伊犁州教育局，根据2021年8个项目的绩效目标及工作内容，将其细化分工至本单位5个处室，加强组织领导，明确分工，各司其职，抓好工作目标任务的落实完成，同时年中要求各科室/处室/负责人按照年初预算对本科室绩效工作进行自查自评，并报上半年工作情况总结，5月和8月对工作情况进行跟踪检查，确保绩效目标如期实现，不断提高财政资金配置和使用效益。</w:t>
        <w:br/>
        <w:t>2、管理情况</w:t>
        <w:br/>
        <w:t>伊犁州教育局，实施的8个项目，由相关业务处室指派专人进行全过程跟踪管理，处室负责人统筹推进项目实施，单位领导不定期对项目进度进行调度，并对项目质量进行控制。</w:t>
        <w:br/>
        <w:t>3、监管情况</w:t>
        <w:br/>
        <w:t>伊犁州教育局发展规划处负责人陈军从项目实施方案、项目预算、项目建设进度、项目成本、项目验收等环节，全过程对项目进行监管，并向本部门/单位主要领导报告，以推进项目建设和提高项目质量，以发挥资金使用效益。</w:t>
        <w:br/>
        <w:t>（四）绩效情况分析</w:t>
        <w:br/>
        <w:t>1、成本控制情况</w:t>
        <w:br/>
        <w:t>伊犁州教育局，所涉及专项项目均已于专项资金下达后按照资金文件及绩效管理要求设置《项目绩效目标表》。8个专项项目预算总额为524.23万元，在项目实施过程中，业务人员加强项目管理，合理控制项目成本，截止项目结束，8个项目总成本为524.23万元，不存在超支情况。</w:t>
        <w:br/>
        <w:t>2、成本节约情况</w:t>
        <w:br/>
        <w:t>伊犁州教育局，所涉及专项项目使用资金比专项项目总预算减少7.54万元，项目节约率为1.44%。</w:t>
        <w:br/>
        <w:t>（五）项目效率性分析</w:t>
        <w:br/>
        <w:t>1、实施进度</w:t>
        <w:br/>
        <w:t>2021年伊犁州教育局共涉及专项项目8个，截止到2021年底，通过专项项目实施过程中的有效监督，我单位按预期完成了8个专项的各项专项任务，项目总体完成率为100%。</w:t>
        <w:br/>
        <w:t>2、完成质量</w:t>
        <w:br/>
        <w:t>8个专项项目完成质量情况如下：</w:t>
        <w:br/>
        <w:t>①教师招聘保障项目安排完成合格录用753人，全部上岗任职；</w:t>
        <w:br/>
        <w:t>②中小学和幼儿园教师培训项目完成培训州直各县中小学和幼儿918人，提升州直教师教学能力和信息技术应用能力；</w:t>
        <w:br/>
        <w:t>③州直教师系列职称评审保障项目完成864名教师晋升中学高级职称的评审工作；</w:t>
        <w:br/>
        <w:t>④中考、高考等考试考务费项目安排完成八类各级各类国家级考试工作；</w:t>
        <w:br/>
        <w:t>⑤新疆班学生暑期运输项目完成近6000余名新疆班回乡返校学生，坚持防疫安全、交通安全两手抓，贯穿学生暑期运输全过程和各环节，确保暑期运输“零风险”“零感染”“零失误”；</w:t>
        <w:br/>
        <w:t>⑥更换电梯项目完成了局办公楼2部电梯的更换，确保了乘梯人员的安全；</w:t>
        <w:br/>
        <w:t>⑦州级考务指挥平台升级改造及办公设备购置项目完成州级指挥平台的升级改造，提高各类国家级自治区教育考试工作的质量；</w:t>
        <w:br/>
        <w:t>⑧职业教育质量提升项目完成“双师型”教师专业技能研修培训65人，切实提升职业院校教师队伍整体素质和建设水平；</w:t>
        <w:br/>
        <w:t>（六）项目效益性分析</w:t>
        <w:br/>
        <w:t>8个专项项目预期目标完成程度、实施对经济和社会的影响如下</w:t>
        <w:br/>
        <w:t>1、教师招聘保障项目安排完成合格录用753名新聘教师，有效补充了州直教师队伍,缓解了州直中小学和幼儿园教师短缺问题；</w:t>
        <w:br/>
        <w:t>2、中小学和幼儿园教师培训项目完成培训州直各县中小学和幼儿918人，培训切实有效提升教师信息技术与学科教学融合教学理念与信息素养，创新教育教学模式，有效提高教育教学质量；</w:t>
        <w:br/>
        <w:t>3、州直教师系列职称评审保障项目通过教师专业技术职务评聘，客观、公正、科学地评价中小学教师的能力水平和业绩贡献，发现和选拔优秀人才，培养造就一支有理想信念、有道德情操、有扎实学识、有仁爱之心的高素质人才队伍，促进州直教育事业更好更快发展，为实现社会稳定和长治久安总目标提供智力支持和人才保障；</w:t>
        <w:br/>
        <w:t>4、中考、高考等考试考务费项目充分利用现有中高考等考试成本收入，提升办考服务水平；</w:t>
        <w:br/>
        <w:t>5、新疆班学生暑期运输项目有效保障新疆班学生安全回乡返校，确保暑期运输“零风险”“零感染”“零失误”；</w:t>
        <w:br/>
        <w:t>6、更换电梯项目完成了局办公楼2部电梯的更换，确保了乘梯人员的安全；</w:t>
        <w:br/>
        <w:t>7、州级考务指挥平台升级改造及办公设备购置项目，进一步提高各类国家级自治区教育考试工作的质效，充分利用现代科技手段为各类教育考试的公平公正提供技术保障；</w:t>
        <w:br/>
        <w:t>8、职业教育质量提升项目完成“双师型”教师专业技能研修培训65人，进一步提高职业院校“双师型”教师的教育教学能力，培养更多社会经济需求的技能人才，切实提升职业院校教师队伍整体素质和建设水平；</w:t>
      </w:r>
    </w:p>
    <w:p w14:paraId="12A3AD8D" w14:textId="629BB3D6"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资产管理情况</w:t>
      </w:r>
    </w:p>
    <w:p w14:paraId="0A4F0C23" w14:textId="6048A21C" w:rsidR="00E8616A" w:rsidRPr="00E8616A" w:rsidRDefault="00E8616A" w:rsidP="00DC7E33">
      <w:pPr>
        <w:spacing w:line="600" w:lineRule="exact"/>
        <w:ind w:left="648" w:firstLineChars="200" w:firstLine="643"/>
        <w:jc w:val="left"/>
        <w:rPr>
          <w:rFonts w:ascii="仿宋_GB2312" w:eastAsia="仿宋_GB2312" w:hAnsi="宋体"/>
          <w:b/>
          <w:sz w:val="32"/>
          <w:szCs w:val="32"/>
        </w:rPr>
      </w:pPr>
      <w:r w:rsidRPr="00E8616A">
        <w:rPr>
          <w:rFonts w:ascii="仿宋_GB2312" w:eastAsia="仿宋_GB2312" w:hAnsi="宋体" w:hint="eastAsia"/>
          <w:b/>
          <w:sz w:val="32"/>
          <w:szCs w:val="32"/>
        </w:rPr>
        <w:t>（一）资产配置情况</w:t>
        <w:br/>
        <w:t>2021年我局资产总额3017.77万元，其中流动资产847.49万元，固定资产净值2169.97万元（其中：土地、房屋及构筑物1899.04万元，占固定资产净值的87.51%；通用设备209.36万元，占固定资产净值的9.65%；专用设备0.2万元，占固定资产净值的0.01%；其他61.37万元，占固定资产净值的2.83%）。</w:t>
        <w:br/>
        <w:t>本年度流动资产374.97万元，比上年增加368.32万元，原因是：其他应收款核算往来资金财政专户，年底组织部拨入援疆项目资金、红云卷烟厂资助学生款等资金。</w:t>
        <w:br/>
        <w:t>本年度固定资产129.78万元，比上年增加（减少）126.71万元，原因是：2021年对州级考务考试平台进行了升级改造，对办公楼的2部电梯进行了更换。</w:t>
        <w:br/>
        <w:t>实际在用固定资产2169.98万元，固定资产利用率100%。</w:t>
        <w:br/>
        <w:t>（二）资产管理情况</w:t>
        <w:br/>
        <w:t>1、固定资产按照“谁使用、谁负责”的原则，一年一次盘点，使用人在登记卡上签字确认。固定资产严格按照内部控制规范、《资产管理办法》、《政府采购管理办法》进行配置和处置。严格按照财务管理的相关要求，制定了《固定资产管理办法》、《货币资金管理制度》和《政府采购管理办法》等固定资产和办公用品使用、审批、稽核的内部管理规范。</w:t>
        <w:br/>
        <w:t>2、流动资产根据《行政事业单位资产管理制度》，对货币资金加强管理，统一设立银行存款账户，未经财政主管部门同意不允许单独设立财政监管以外的银行存款账户；现金开支按照规定开支范围支付，对出纳工作具有很强的原则性。因此，出纳人员在经管现金时，严格遵守国家的现金管理规定，正确及时核算和监督现金收支及结存情况，保证现金的安全；预借款管理，按照规定填写《借款单》，经单位负责人审签，由财务负责人签字后报主管财务领导审批，非公务活动一律不得借款，并要求在规定得时间内及时结账。</w:t>
      </w:r>
    </w:p>
    <w:p w14:paraId="0B4A597E" w14:textId="3A38E9D2"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部门单位整体支出绩效情况</w:t>
      </w:r>
    </w:p>
    <w:p w14:paraId="346EF8A1" w14:textId="12FD60D8" w:rsidR="00E8616A" w:rsidRPr="00E8616A" w:rsidRDefault="00E8616A" w:rsidP="00DC7E33">
      <w:pPr>
        <w:spacing w:line="600" w:lineRule="exact"/>
        <w:ind w:firstLineChars="350" w:firstLine="1120"/>
        <w:jc w:val="left"/>
        <w:rPr>
          <w:rFonts w:ascii="仿宋_GB2312" w:eastAsia="仿宋_GB2312" w:hAnsi="宋体"/>
          <w:b/>
          <w:sz w:val="32"/>
          <w:szCs w:val="32"/>
        </w:rPr>
      </w:pPr>
      <w:r>
        <w:rPr>
          <w:rFonts w:ascii="黑体" w:eastAsia="黑体" w:hAnsi="黑体" w:cs="宋体" w:hint="eastAsia"/>
          <w:bCs/>
          <w:color w:val="333333"/>
          <w:sz w:val="32"/>
          <w:szCs w:val="32"/>
          <w:lang w:bidi="ar"/>
        </w:rPr>
        <w:t xml:space="preserve"> </w:t>
      </w:r>
      <w:r>
        <w:rPr>
          <w:rFonts w:ascii="仿宋_GB2312" w:eastAsia="仿宋_GB2312" w:hAnsi="宋体" w:hint="eastAsia"/>
          <w:b/>
          <w:sz w:val="32"/>
          <w:szCs w:val="32"/>
        </w:rPr>
        <w:t>（一）经济效益评价</w:t>
        <w:br/>
        <w:t>202x年度我单位年初预算安排2255.05万元，年中调整 157.53万元，截止12月底支出3620.76万元，执行率100%。</w:t>
        <w:br/>
        <w:t>1、预算资金执行过程中均按照年初预算分配情况均做到专款专用，未出现资金侵、挪占情况。</w:t>
        <w:br/>
        <w:t>2、全年按照部门预算进行成本控制，全部控制在厉行节约指标数内。其他支出按财政部门下达的计划实施，全年没有项目超支。</w:t>
        <w:br/>
        <w:t>（二）效率性评价</w:t>
        <w:br/>
        <w:t>2021年，在州财政局的大力支持和我局领导的正确领导下，我局迎难而上、务实重干，积极推动各项教育工作取得了新的进展，为促进经济持续健康发展与社会和谐稳定提供了有力的资金支撑和保障。</w:t>
        <w:br/>
        <w:t>1、圆满完成我局各项工作</w:t>
        <w:br/>
        <w:t>确保全年工作正常运转的情况下，全面提升教育服务水平、管理水平，积极推动教育工作稳步发展，实现教育提质增效。</w:t>
        <w:br/>
        <w:t>2、2021年自治区职业院校教师素质提高计划（“双师型”教师研修班）任务提前完成</w:t>
        <w:br/>
        <w:t>我局提前完成了2021年自治区职业院校教师素质提高计划专项的各项专项任务。按照该专项年初设定的总体目标完成如下：此次培训采取集中面授、网络研修相结合及探索性的企业跟岗培训形式，坚持目标导向和问题导向，在教师培训需求调研和诊断的基础上，紧紧围绕重点提升教师的理实一体教学能力、实践技能、信息技术应用能力等“双师素质”设置培训内容，强化中职教师“双师能力”训练和提升，特别是实践教学能力和利用信息化手段开展教学的能力。</w:t>
        <w:br/>
        <w:t>此次培训采取集中面授和网络研修相结合的形式，对州直职业院校65名“双师型”教师进行了为期30天的培训。培训紧紧围绕重点提升教师的理实一体教学能力、专业实践技能、信息技术应用能力等“双师”素质设置培训内容，强化训练和提高中职教师“双教能力”，特别是实践教学能力和利用信息化手段开展教学的能力。强化培训的过程服务和管理、切实提高了培训的效果，达到了预期的目标。进一步提高职业院校“双师型”教师的教育教学能力，培养更多社会经济需求的技能人才，切实提升职业院校教师队伍整体素质和建设水平，加快建成一支师德高尚、素质优良、技艺精湛、结构合理、专兼结合的高素质专业化的“双师型”教师队伍。</w:t>
        <w:br/>
        <w:t>3、中考、高考等考试工作成效显著</w:t>
        <w:br/>
        <w:t>考试中心以强化考试安全、维护考试公平、弘扬考试和谐为理念，以依法管考、精细办考、公平促考、服务保考、从严治考为工作目标，保证考试中心所承担的各级各类考试顺利完成，在各类考试施考过程中，保证试卷征订准确无误、考点考场安保到位、服务到位、秩序井然，考风考纪严肃，保证考试无泄密事故，监考规范，无考试事故发生，社会反映良好。招生办负责普通高考、成人考试、硕士研究生考试的资格审查、报名、体检、组织考试工作。学考办负责高中学业水平考试的报名、考试工作及转学相关工作。自学办主要负责高等教育自学考试、特岗教师考试及全国计算机等级考试的报名、组织考试工作。内学办主要负责新疆班招生考试、初中学业水平考试的报名、组织考试工作。</w:t>
        <w:br/>
        <w:t>4、满意度指标全面达标，群众满意度提高</w:t>
        <w:br/>
        <w:t>（三）有效性评价</w:t>
        <w:br/>
        <w:t>2020年部门支出的有效性主要体现在我单位各项工作成效上，一是教育各项工作进一步夯实，二是资金管理能力进一步提升，三是专项资金使用进一步改善，四是资金绩效管理意识进一步提高，五是教育项目进一步推进，六是服务群众需求及社会发展水平进一步增强，详细情况如下：</w:t>
        <w:br/>
        <w:t>一是党的领导巩固增强。认真学习贯彻习近平新时代中国特色社会主义思想。巩固深化“不忘初心、牢记使命”主题教育成果，扎实开展党史学习教育，树牢“四个意识”，坚定“四个自信”，做到“两个维护”。认真落实意识形态责任制，开展党的教育方针贯彻落实专项行动，制度化、常态化推进民族团结工作，始终做到“五个管好”，各族师生中华民族共同体意识进一步巩固提升。</w:t>
        <w:br/>
        <w:t>二是教育系统和谐稳定。聚焦社会稳定和长治久安总目标不放松，坚持稳定压倒一切。全面开展防范化解风险排查，梳理风险8个方面、37项问题，提出了215条解决措施，防范化解各类风险隐患30余条，应急响应率达100%，实现州直教育系统大事不出、小事不出。</w:t>
        <w:br/>
        <w:t>三是疫情防控科学有序。统筹疫情防控和教育教学工作，坚持学校疫情防控上提一档要求，落实人、物、环境“三位一体”，实施校园封闭式管理，做好师生日常健康监测。州直教育系统5.56万名教职工和23.32万名12岁以上学生做到了新冠疫苗应接尽接，目前正在有序组织3-11岁学生接种工作。州直教育系统实现假期与开学有序衔接，线上教学与线下教学无缝对接，师生“零感染”，校园“零疫情”。</w:t>
        <w:br/>
        <w:t>四是教育发展成效显著。巩固学前教育普及普惠成果，适龄儿童学前教育“应入尽入”，学前教育普惠率达到90%。义务教育均衡提升，中小学校全面开展“五项管理”，课后服务率100%。适龄儿童小学入学率100%。适龄残疾儿童少年义务教育入学率98%。霍城县、霍尔果斯市、特克斯县义务教育均衡发展工作均以优秀等级通过国家评估认定，各县市全面实现义务教育基本均衡发展目标。积极推进普通高中多样化有特色发展，招收特长生237名。实施学校间强弱校“捆绑”发展，扩大优质高中教育资源共建共享。争取援疆定向招生计划584个。深化职业教育改革，完善新疆应用职业技术学院建设综合教学楼、实训楼等基础设施。规划投入3.6亿元，征迁土地150亩建设伊犁职业技术学院新校区，目前已投入9200万元完成43亩土地征迁工作，投入7546万元新建4栋宿舍楼，其中2栋已投入使用，另外2栋正在加快建设。创建自治区优质高等职业学校、自治区优质中等职业学校各1所，3个中、高职作品在2021年全国职业院校技能大赛教学能力比赛自治区选拔赛中获奖。改革教育评价，深化督导体制机制改革，考试招生改革平稳有序。推进州职业教育集团建设与管理。全方位深入推动兵地教育融合发展。落实“双减”工作任务，179所学科类培训机构注销、转型162所，17所学科类培训机构全部由营利性转非营利性。</w:t>
        <w:br/>
        <w:t>五是教育保障坚实有力。争取项目资金4.04亿元，实施新建项目376个，改善办学条件。招聘教师753名，培训教师28.9万人次。投入资金2200万元的伊犁州教育云平台即将建成投入使用。国家通用语言文字教学覆盖率100%，少数民族学生学习本民族语言文字权益得到充分保障。</w:t>
        <w:br/>
        <w:t>六是教育质量明显提升。坚持五育并举，大力推进素质教育。深化教育教学改革，强化课题研究。完善中考体育与健康考试改革，贯彻落实《自治区大中小学劳动教育清单》。推进伊犁职业技术学院体育运动学院（伊犁州体育运动学校）办学质量提升。开足开启课程，加强美育教育，实施劳动教育，开展经典诵读，传承中华优秀传统文化，促进学生德智体美劳全面发展。普通高考录取率达到99%，基本实现普通高中接受高等教育全覆盖。</w:t>
        <w:br/>
        <w:t>七是服务经济社会发展成效明显。推动巩固拓展教育脱贫攻坚成果同乡村振兴有效衔接，学生资助体系已基本完善，家庭经济困难在校生应助尽助。高职毕业生就业率达90.6%，中职毕业生就业率达89.2%。普通话水平测试基本实现“普测到家”，普通话学习使用氛围进一步提升。克服疫情影响，分批护送2.2万人次学生安全回乡返校，有序服务考生15万人次。</w:t>
        <w:br/>
        <w:t>州教育局部门单位整体绩效目标共设置一级指标3个，二级指标7个，三级指标32个，详细说明如下</w:t>
        <w:br/>
        <w:t>1、数量指标：</w:t>
        <w:br/>
        <w:t>指标1：职称评审专家人数，指标值：≥50人 ，实际完成值：46人，指标完成率92%；</w:t>
        <w:br/>
        <w:t>指标2：购置设备台数，指标值：≥10台，实际完成值：21台，指标完成率210%；</w:t>
        <w:br/>
        <w:t>指标3：保障在职人员人数，指标值：≥110人 ，实际完成值：109人，指标完成率99.09%；</w:t>
        <w:br/>
        <w:t>指标4：监考教师人数，指标值：≥4800人，实际完成值：4984人 ，指标完成率103.83%；</w:t>
        <w:br/>
        <w:t>指标5：参加培训人数，指标值：≥40000人 ，实际完成值：918人，指标完成率2.3%；</w:t>
        <w:br/>
        <w:t>指标6：招聘教师评审专家人数，指标值：≥100人，实际完成值：197，指标完成率197%；</w:t>
        <w:br/>
        <w:t>2、质量指标：</w:t>
        <w:br/>
        <w:t>指标1：培训合格率，指标值：≥95%，实际完成值：100%，指标完成率105.26%；</w:t>
        <w:br/>
        <w:t>指标2：工资及公用经费保障率，指标值：＝100%，实际完成值：100%，指标完成率100%；</w:t>
        <w:br/>
        <w:t>指标3：组织考试完成率，指标值：＝100%，实际完成值：100%，指标完成率100%；</w:t>
        <w:br/>
        <w:t>指标4：招聘教师资质合格率，指标值：≥95%，实际完成值：100%，指标完成率105.26%；</w:t>
        <w:br/>
        <w:t>指标5：购置设备验收合格率，指标值：≥90%，实际完成值：100%，指标完成率111.11%；</w:t>
        <w:br/>
        <w:t>指标6：高级职称教师资质合格率，指标值：≥90%，实际完成值：99.7%，指标完成率110.78%；</w:t>
        <w:br/>
        <w:t>3、时效指标：</w:t>
        <w:br/>
        <w:t>指标1：考试按计划开考率，指标值：＝100%，实际完成值：100%，指标完成率100%；</w:t>
        <w:br/>
        <w:t>指标2：系统故障修复处理时间，指标值：≤3天，实际完成值：0天，指标完成率0%；</w:t>
        <w:br/>
        <w:t>指标3：培训考核按计划完成率，指标值：≥98%，实际完成值：100%，指标完成率102.04%；</w:t>
        <w:br/>
        <w:t>指标4：评审工作按时完成率，指标值：＝100%，实际完成值：100%，指标完成率100%；</w:t>
        <w:br/>
        <w:t>指标5：资金发放及时性，指标值：＝100%，实际完成值：100%，指标完成率100%；</w:t>
        <w:br/>
        <w:t>指标6：招聘项目按计划开展率，指标值：≥95%，实际完成值：100%，指标完成率105.26%；</w:t>
        <w:br/>
        <w:t>4、成本指标：</w:t>
        <w:br/>
        <w:t>指标1：人均支出标准，指标值：≤14.27万元，实际完成值：13.85万元，指标完成率97.06%；</w:t>
        <w:br/>
        <w:t>指标2：人均运转经费数，指标值：≤1.86万元，实际完成值：1.75万元，指标完成率94.09%；</w:t>
        <w:br/>
        <w:t>指标3：招聘教师评审专家人均费用，指标值：≤0.03万元，实际完成值：0.015万元，指标完成率50%；</w:t>
        <w:br/>
        <w:t>指标4：职称评审专家人均费用，指标值：≤300元，实际完成值：150元，指标完成率50%；</w:t>
        <w:br/>
        <w:t>指标5：单场监考费用支出，指标值：≤30元/场，实际完成值：30元/场，指标完成率100%；</w:t>
        <w:br/>
        <w:t>5、经济效益指标：</w:t>
        <w:br/>
        <w:t>指标1：办公设备利用率，指标值：≥98%，实际完成值：98%，指标完成率100%；</w:t>
        <w:br/>
        <w:t>指标2：考试收入，指标值：＝242万元，实际完成值：242万元，指标完成率100%；</w:t>
        <w:br/>
        <w:t>6、社会效益指标：</w:t>
        <w:br/>
        <w:t>指标1：改善教师结构短缺，指标值：有效改善，实际完成值：有效改善，指标完成率100%；</w:t>
        <w:br/>
        <w:t>指标2：改善办考水平，指标值：有效改善，实际完成值：有效改善，指标完成率100%；</w:t>
        <w:br/>
        <w:t>指标3：提升中小学教师整体素质能力，指标值：有效提升，实际完成值：有效提升，指标完成率100%；</w:t>
        <w:br/>
        <w:t>指标4：维护考试公平，指标值：有效维护，实际完成值：有效维护，指标完成率100%；</w:t>
        <w:br/>
        <w:t>7、可持续影响指标：</w:t>
        <w:br/>
        <w:t>指标1：专业教师指标结构性综合利用率，指标值：100%，实际完成值：100%，指标完成率100%；</w:t>
        <w:br/>
        <w:t>8、满意度指标：</w:t>
        <w:br/>
        <w:t>指标1：职工满意度，指标值：≥95%，实际完成值：95%，指标完成率100%；</w:t>
        <w:br/>
        <w:t>指标2：招聘教师满意度，指标值：≥95%，实际完成值：100%，指标完成率105.26%；</w:t>
      </w:r>
    </w:p>
    <w:p w14:paraId="4D3E30DF" w14:textId="1C072494"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存在的主要问题</w:t>
      </w:r>
    </w:p>
    <w:p w14:paraId="5912FC22" w14:textId="46E8FFED" w:rsidR="00E8616A" w:rsidRPr="00E8616A" w:rsidRDefault="00E8616A" w:rsidP="00DC7E33">
      <w:pPr>
        <w:spacing w:line="600" w:lineRule="exact"/>
        <w:ind w:left="648" w:firstLineChars="200" w:firstLine="643"/>
        <w:jc w:val="left"/>
        <w:rPr>
          <w:rFonts w:ascii="仿宋_GB2312" w:eastAsia="仿宋_GB2312" w:hAnsi="宋体"/>
          <w:b/>
          <w:sz w:val="32"/>
          <w:szCs w:val="32"/>
        </w:rPr>
      </w:pPr>
      <w:r w:rsidRPr="00E8616A">
        <w:rPr>
          <w:rFonts w:ascii="仿宋_GB2312" w:eastAsia="仿宋_GB2312" w:hAnsi="宋体" w:hint="eastAsia"/>
          <w:b/>
          <w:sz w:val="32"/>
          <w:szCs w:val="32"/>
        </w:rPr>
        <w:t>（一）面对人民群众对优质公平教育的更高要求，我们的优质教育资源还比较短缺，城乡、区域、校际、群体之间的教育资源分配还不平衡，推动学前教育普及普惠安全优质发展、义务教育优质均衡发展、高中阶段多样化发展、提升职业教育办学水平等方面还面临诸多困难，如何解决教育发展不平衡不充分这个主要矛盾，更好地回应好人民群众期盼还有大量的工作要做。</w:t>
        <w:br/>
        <w:t>（二）标准化考点监控系统设备维护困难。伊宁市、霍城县、新源县、特克斯县4个考区标准化设备于2013年建设投入使用，使用频率高，年限长，出现问题较多，但没有维护经费，存在安全隐患。</w:t>
        <w:br/>
        <w:t>（三）扩大考试资源，努力解决涉考人员选聘难度大问题。伊宁市因为各级各类考试多，考生人数多，考试组织管理难度大，施考任务更为繁重，承担考试的学校难以调配。因多数教育考试时间都在周末，而且监考费标准低，学校和老师对教育考试监考工作存在抵触心理，分配施考任务和选聘涉考人员的难度较大。</w:t>
      </w:r>
    </w:p>
    <w:p w14:paraId="65E5B227" w14:textId="14D4F6D7"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改进措施和建议</w:t>
      </w:r>
    </w:p>
    <w:p w14:paraId="490E58CB" w14:textId="1CE8FBAC" w:rsidR="00E8616A" w:rsidRPr="00E8616A" w:rsidRDefault="00E8616A" w:rsidP="00DC7E33">
      <w:pPr>
        <w:spacing w:line="600" w:lineRule="exact"/>
        <w:ind w:left="648" w:firstLineChars="200" w:firstLine="643"/>
        <w:jc w:val="left"/>
        <w:rPr>
          <w:rFonts w:ascii="仿宋_GB2312" w:eastAsia="仿宋_GB2312" w:hAnsi="宋体"/>
          <w:b/>
          <w:sz w:val="32"/>
          <w:szCs w:val="32"/>
        </w:rPr>
      </w:pPr>
      <w:r w:rsidRPr="00E8616A">
        <w:rPr>
          <w:rFonts w:ascii="仿宋_GB2312" w:eastAsia="仿宋_GB2312" w:hAnsi="宋体" w:hint="eastAsia"/>
          <w:b/>
          <w:sz w:val="32"/>
          <w:szCs w:val="32"/>
        </w:rPr>
        <w:t>（一）改进措施</w:t>
        <w:br/>
        <w:t>各级各类考试，开启标准化考场施考过程中，国家、自治区、州级、县市、施考学校可以通过监控视频在网上同步巡查，对于违规考生和违规操作的涉考老师都按规定进行通报或行政处理，各级各类考试都公示县市、州级、自治区举报电话。对于各级各类考试的报名审核同样公示举报电话。建立州直考试事故大事记，对工作人员加强警示教育培训，对因责任心不强造成考务事故的人员，报人事处等相关处室，与年度考核、晋级晋职相挂钩。</w:t>
        <w:br/>
        <w:t>（二）建议</w:t>
        <w:br/>
        <w:t>建议加大考试考务费投入力度。1.强化技术设备配备，考试全部使用标准化考场施考，在考生入场管理、违禁物品检查、手机信号屏蔽、考场监考等环节，一方面做到人员培训到位、工作安排周密，另一方面考虑配备考生进场指纹验证设备，提高防范监测水平。2.提高考试考务期间监考费用，特别是国家类考试，考试时间早，时间长（研究生考试每场三小时），国家类考试涉考人员大部分经过三次培训上岗，而对于多次占用老师时间都需合理规范的资金补偿，合理提高评委及工作人员等费用。</w:t>
      </w:r>
    </w:p>
    <w:p w14:paraId="37F06586" w14:textId="77777777" w:rsidR="00340E58" w:rsidRPr="00950CC4"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附表：《部门整体支出绩效目标自评表》</w:t>
      </w:r>
    </w:p>
    <w:p w14:paraId="550E9160" w14:textId="77777777" w:rsidR="008F0DCE" w:rsidRPr="00340E58" w:rsidRDefault="008F0DCE"/>
    <w:sectPr w:rsidR="008F0DCE" w:rsidRPr="00340E5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EF9EDE2" w14:textId="77777777" w:rsidR="003E45AA" w:rsidRDefault="003E45AA" w:rsidP="00340E58">
      <w:r>
        <w:separator/>
      </w:r>
    </w:p>
  </w:endnote>
  <w:endnote w:type="continuationSeparator" w:id="0">
    <w:p w14:paraId="7EB096F5" w14:textId="77777777" w:rsidR="003E45AA" w:rsidRDefault="003E45AA" w:rsidP="00340E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1" w:usb1="080E0000" w:usb2="00000000" w:usb3="00000000" w:csb0="00040000" w:csb1="00000000"/>
  </w:font>
  <w:font w:name="华文中宋">
    <w:panose1 w:val="02010600040101010101"/>
    <w:charset w:val="86"/>
    <w:family w:val="auto"/>
    <w:pitch w:val="variable"/>
    <w:sig w:usb0="00000287" w:usb1="080F0000" w:usb2="00000010" w:usb3="00000000" w:csb0="0004009F" w:csb1="00000000"/>
  </w:font>
  <w:font w:name="仿宋_GB2312">
    <w:altName w:val="仿宋"/>
    <w:charset w:val="86"/>
    <w:family w:val="modern"/>
    <w:pitch w:val="default"/>
    <w:sig w:usb0="00000001" w:usb1="080E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E21BEFC" w14:textId="77777777" w:rsidR="003E45AA" w:rsidRDefault="003E45AA" w:rsidP="00340E58">
      <w:r>
        <w:separator/>
      </w:r>
    </w:p>
  </w:footnote>
  <w:footnote w:type="continuationSeparator" w:id="0">
    <w:p w14:paraId="14F82E79" w14:textId="77777777" w:rsidR="003E45AA" w:rsidRDefault="003E45AA" w:rsidP="00340E5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9703BB8"/>
    <w:multiLevelType w:val="multilevel"/>
    <w:tmpl w:val="69703BB8"/>
    <w:lvl w:ilvl="0">
      <w:start w:val="1"/>
      <w:numFmt w:val="japaneseCounting"/>
      <w:lvlText w:val="%1、"/>
      <w:lvlJc w:val="left"/>
      <w:pPr>
        <w:ind w:left="1368" w:hanging="720"/>
      </w:pPr>
      <w:rPr>
        <w:rFonts w:hint="default"/>
      </w:rPr>
    </w:lvl>
    <w:lvl w:ilvl="1">
      <w:start w:val="1"/>
      <w:numFmt w:val="lowerLetter"/>
      <w:lvlText w:val="%2)"/>
      <w:lvlJc w:val="left"/>
      <w:pPr>
        <w:ind w:left="1488" w:hanging="420"/>
      </w:pPr>
    </w:lvl>
    <w:lvl w:ilvl="2">
      <w:start w:val="1"/>
      <w:numFmt w:val="lowerRoman"/>
      <w:lvlText w:val="%3."/>
      <w:lvlJc w:val="right"/>
      <w:pPr>
        <w:ind w:left="1908" w:hanging="420"/>
      </w:pPr>
    </w:lvl>
    <w:lvl w:ilvl="3">
      <w:start w:val="1"/>
      <w:numFmt w:val="decimal"/>
      <w:lvlText w:val="%4."/>
      <w:lvlJc w:val="left"/>
      <w:pPr>
        <w:ind w:left="2328" w:hanging="420"/>
      </w:pPr>
    </w:lvl>
    <w:lvl w:ilvl="4">
      <w:start w:val="1"/>
      <w:numFmt w:val="lowerLetter"/>
      <w:lvlText w:val="%5)"/>
      <w:lvlJc w:val="left"/>
      <w:pPr>
        <w:ind w:left="2748" w:hanging="420"/>
      </w:pPr>
    </w:lvl>
    <w:lvl w:ilvl="5">
      <w:start w:val="1"/>
      <w:numFmt w:val="lowerRoman"/>
      <w:lvlText w:val="%6."/>
      <w:lvlJc w:val="right"/>
      <w:pPr>
        <w:ind w:left="3168" w:hanging="420"/>
      </w:pPr>
    </w:lvl>
    <w:lvl w:ilvl="6">
      <w:start w:val="1"/>
      <w:numFmt w:val="decimal"/>
      <w:lvlText w:val="%7."/>
      <w:lvlJc w:val="left"/>
      <w:pPr>
        <w:ind w:left="3588" w:hanging="420"/>
      </w:pPr>
    </w:lvl>
    <w:lvl w:ilvl="7">
      <w:start w:val="1"/>
      <w:numFmt w:val="lowerLetter"/>
      <w:lvlText w:val="%8)"/>
      <w:lvlJc w:val="left"/>
      <w:pPr>
        <w:ind w:left="4008" w:hanging="420"/>
      </w:pPr>
    </w:lvl>
    <w:lvl w:ilvl="8">
      <w:start w:val="1"/>
      <w:numFmt w:val="lowerRoman"/>
      <w:lvlText w:val="%9."/>
      <w:lvlJc w:val="right"/>
      <w:pPr>
        <w:ind w:left="442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3604"/>
    <w:rsid w:val="001C7F2C"/>
    <w:rsid w:val="00340E58"/>
    <w:rsid w:val="003E45AA"/>
    <w:rsid w:val="00584481"/>
    <w:rsid w:val="00653C1A"/>
    <w:rsid w:val="007B51CE"/>
    <w:rsid w:val="007E47F4"/>
    <w:rsid w:val="008F0DCE"/>
    <w:rsid w:val="00916058"/>
    <w:rsid w:val="00AB72C1"/>
    <w:rsid w:val="00C10BB4"/>
    <w:rsid w:val="00CE0C6C"/>
    <w:rsid w:val="00DB647F"/>
    <w:rsid w:val="00DC7E33"/>
    <w:rsid w:val="00E8616A"/>
    <w:rsid w:val="00EB36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E59150"/>
  <w15:chartTrackingRefBased/>
  <w15:docId w15:val="{AB403C91-96A9-4489-9DBC-85D953C40E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40E58"/>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40E58"/>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340E58"/>
    <w:rPr>
      <w:sz w:val="18"/>
      <w:szCs w:val="18"/>
    </w:rPr>
  </w:style>
  <w:style w:type="paragraph" w:styleId="a5">
    <w:name w:val="footer"/>
    <w:basedOn w:val="a"/>
    <w:link w:val="a6"/>
    <w:uiPriority w:val="99"/>
    <w:unhideWhenUsed/>
    <w:rsid w:val="00340E58"/>
    <w:pPr>
      <w:tabs>
        <w:tab w:val="center" w:pos="4153"/>
        <w:tab w:val="right" w:pos="8306"/>
      </w:tabs>
      <w:snapToGrid w:val="0"/>
      <w:jc w:val="left"/>
    </w:pPr>
    <w:rPr>
      <w:sz w:val="18"/>
      <w:szCs w:val="18"/>
    </w:rPr>
  </w:style>
  <w:style w:type="character" w:customStyle="1" w:styleId="a6">
    <w:name w:val="页脚 字符"/>
    <w:basedOn w:val="a0"/>
    <w:link w:val="a5"/>
    <w:uiPriority w:val="99"/>
    <w:rsid w:val="00340E58"/>
    <w:rPr>
      <w:sz w:val="18"/>
      <w:szCs w:val="18"/>
    </w:rPr>
  </w:style>
  <w:style w:type="paragraph" w:styleId="a7">
    <w:name w:val="List Paragraph"/>
    <w:basedOn w:val="a"/>
    <w:uiPriority w:val="34"/>
    <w:qFormat/>
    <w:rsid w:val="00E8616A"/>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no"?>
<Relationships xmlns="http://schemas.openxmlformats.org/package/2006/relationships">
<Relationship Id="rId1" Target="numbering.xml" Type="http://schemas.openxmlformats.org/officeDocument/2006/relationships/numbering"/>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ntTable.xml" Type="http://schemas.openxmlformats.org/officeDocument/2006/relationships/fontTable"/>
<Relationship Id="rId8"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2</Pages>
  <Words>51</Words>
  <Characters>293</Characters>
  <Application>Microsoft Office Word</Application>
  <DocSecurity>0</DocSecurity>
  <Lines>2</Lines>
  <Paragraphs>1</Paragraphs>
  <ScaleCrop>false</ScaleCrop>
  <Company/>
  <LinksUpToDate>false</LinksUpToDate>
  <CharactersWithSpaces>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2020-06-04T05:22:00Z</dcterms:created>
  <dc:creator>hongbing liu</dc:creator>
  <cp:lastModifiedBy>liu hongbing</cp:lastModifiedBy>
  <dcterms:modified xsi:type="dcterms:W3CDTF">2020-06-23T16:43:00Z</dcterms:modified>
  <cp:revision>22</cp:revision>
</cp:coreProperties>
</file>