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75B3F9">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14:paraId="2B863724">
      <w:pPr>
        <w:spacing w:line="540" w:lineRule="exact"/>
        <w:jc w:val="center"/>
        <w:rPr>
          <w:rFonts w:ascii="方正小标宋_GBK" w:hAnsi="华文中宋" w:eastAsia="方正小标宋_GBK" w:cs="宋体"/>
          <w:b/>
          <w:kern w:val="0"/>
          <w:sz w:val="48"/>
          <w:szCs w:val="48"/>
        </w:rPr>
      </w:pPr>
    </w:p>
    <w:p w14:paraId="56FE3831">
      <w:pPr>
        <w:spacing w:line="540" w:lineRule="exact"/>
        <w:jc w:val="center"/>
        <w:rPr>
          <w:rFonts w:ascii="方正小标宋_GBK" w:hAnsi="华文中宋" w:eastAsia="方正小标宋_GBK" w:cs="宋体"/>
          <w:b/>
          <w:kern w:val="0"/>
          <w:sz w:val="48"/>
          <w:szCs w:val="48"/>
        </w:rPr>
      </w:pPr>
    </w:p>
    <w:p w14:paraId="71BEA104">
      <w:pPr>
        <w:spacing w:line="540" w:lineRule="exact"/>
        <w:jc w:val="center"/>
        <w:rPr>
          <w:rFonts w:ascii="方正小标宋_GBK" w:hAnsi="华文中宋" w:eastAsia="方正小标宋_GBK" w:cs="宋体"/>
          <w:b/>
          <w:kern w:val="0"/>
          <w:sz w:val="48"/>
          <w:szCs w:val="48"/>
        </w:rPr>
      </w:pPr>
    </w:p>
    <w:p w14:paraId="393401E7">
      <w:pPr>
        <w:spacing w:line="540" w:lineRule="exact"/>
        <w:jc w:val="center"/>
        <w:rPr>
          <w:rFonts w:ascii="方正小标宋_GBK" w:hAnsi="华文中宋" w:eastAsia="方正小标宋_GBK" w:cs="宋体"/>
          <w:b/>
          <w:kern w:val="0"/>
          <w:sz w:val="48"/>
          <w:szCs w:val="48"/>
        </w:rPr>
      </w:pPr>
    </w:p>
    <w:p w14:paraId="1B39C0AE">
      <w:pPr>
        <w:spacing w:line="540" w:lineRule="exact"/>
        <w:jc w:val="center"/>
        <w:rPr>
          <w:rFonts w:ascii="方正小标宋_GBK" w:hAnsi="华文中宋" w:eastAsia="方正小标宋_GBK" w:cs="宋体"/>
          <w:b/>
          <w:kern w:val="0"/>
          <w:sz w:val="48"/>
          <w:szCs w:val="48"/>
        </w:rPr>
      </w:pPr>
    </w:p>
    <w:p w14:paraId="11A18AD0">
      <w:pPr>
        <w:spacing w:line="540" w:lineRule="exact"/>
        <w:jc w:val="center"/>
        <w:rPr>
          <w:rFonts w:ascii="方正小标宋_GBK" w:hAnsi="华文中宋" w:eastAsia="方正小标宋_GBK" w:cs="宋体"/>
          <w:b/>
          <w:kern w:val="0"/>
          <w:sz w:val="48"/>
          <w:szCs w:val="48"/>
        </w:rPr>
      </w:pPr>
    </w:p>
    <w:p w14:paraId="7D56F87E">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自治区本级部门单位整体支出绩效</w:t>
      </w:r>
    </w:p>
    <w:p w14:paraId="0C87FD0D">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14:paraId="58039830">
      <w:pPr>
        <w:spacing w:line="540" w:lineRule="exact"/>
        <w:jc w:val="center"/>
        <w:rPr>
          <w:rFonts w:ascii="华文中宋" w:hAnsi="华文中宋" w:eastAsia="华文中宋" w:cs="宋体"/>
          <w:b/>
          <w:kern w:val="0"/>
          <w:sz w:val="52"/>
          <w:szCs w:val="52"/>
        </w:rPr>
      </w:pPr>
    </w:p>
    <w:p w14:paraId="1CF259AF">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14:paraId="186745CD">
      <w:pPr>
        <w:spacing w:line="540" w:lineRule="exact"/>
        <w:jc w:val="center"/>
        <w:rPr>
          <w:rFonts w:hAnsi="宋体" w:eastAsia="仿宋_GB2312" w:cs="宋体"/>
          <w:kern w:val="0"/>
          <w:sz w:val="30"/>
          <w:szCs w:val="30"/>
        </w:rPr>
      </w:pPr>
    </w:p>
    <w:p w14:paraId="4CED77EE">
      <w:pPr>
        <w:spacing w:line="540" w:lineRule="exact"/>
        <w:jc w:val="center"/>
        <w:rPr>
          <w:rFonts w:hAnsi="宋体" w:eastAsia="仿宋_GB2312" w:cs="宋体"/>
          <w:kern w:val="0"/>
          <w:sz w:val="30"/>
          <w:szCs w:val="30"/>
        </w:rPr>
      </w:pPr>
    </w:p>
    <w:p w14:paraId="4D1EB09D">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14:paraId="2D6A57FE">
      <w:pPr>
        <w:spacing w:line="540" w:lineRule="exact"/>
        <w:jc w:val="center"/>
        <w:rPr>
          <w:rFonts w:hAnsi="宋体" w:eastAsia="仿宋_GB2312" w:cs="宋体"/>
          <w:kern w:val="0"/>
          <w:sz w:val="30"/>
          <w:szCs w:val="30"/>
        </w:rPr>
      </w:pPr>
    </w:p>
    <w:p w14:paraId="63BE86C2">
      <w:pPr>
        <w:spacing w:line="540" w:lineRule="exact"/>
        <w:jc w:val="center"/>
        <w:rPr>
          <w:rFonts w:hAnsi="宋体" w:eastAsia="仿宋_GB2312" w:cs="宋体"/>
          <w:kern w:val="0"/>
          <w:sz w:val="30"/>
          <w:szCs w:val="30"/>
        </w:rPr>
      </w:pPr>
    </w:p>
    <w:p w14:paraId="1F44B85D">
      <w:pPr>
        <w:spacing w:line="540" w:lineRule="exact"/>
        <w:jc w:val="center"/>
        <w:rPr>
          <w:rFonts w:hAnsi="宋体" w:eastAsia="仿宋_GB2312" w:cs="宋体"/>
          <w:kern w:val="0"/>
          <w:sz w:val="30"/>
          <w:szCs w:val="30"/>
        </w:rPr>
      </w:pPr>
    </w:p>
    <w:p w14:paraId="2A61933D">
      <w:pPr>
        <w:spacing w:line="540" w:lineRule="exact"/>
        <w:rPr>
          <w:rFonts w:hAnsi="宋体" w:eastAsia="仿宋_GB2312" w:cs="宋体"/>
          <w:kern w:val="0"/>
          <w:sz w:val="30"/>
          <w:szCs w:val="30"/>
        </w:rPr>
      </w:pPr>
    </w:p>
    <w:p w14:paraId="7C5A61A0">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3260287E">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部门单位名称（公章）：</w:t>
      </w:r>
    </w:p>
    <w:p w14:paraId="2DFE3CDF">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     年     月     日</w:t>
      </w:r>
    </w:p>
    <w:p w14:paraId="0D71FB5A">
      <w:pPr>
        <w:spacing w:line="700" w:lineRule="exact"/>
        <w:jc w:val="left"/>
        <w:rPr>
          <w:rFonts w:hAnsi="宋体" w:eastAsia="仿宋_GB2312" w:cs="宋体"/>
          <w:kern w:val="0"/>
          <w:sz w:val="36"/>
          <w:szCs w:val="36"/>
        </w:rPr>
      </w:pPr>
    </w:p>
    <w:p w14:paraId="6E61B129">
      <w:pPr>
        <w:spacing w:line="700" w:lineRule="exact"/>
        <w:jc w:val="left"/>
        <w:rPr>
          <w:rFonts w:hAnsi="宋体" w:eastAsia="仿宋_GB2312" w:cs="宋体"/>
          <w:kern w:val="0"/>
          <w:sz w:val="36"/>
          <w:szCs w:val="36"/>
        </w:rPr>
      </w:pPr>
    </w:p>
    <w:p w14:paraId="20CD2773">
      <w:pPr>
        <w:spacing w:line="700" w:lineRule="exact"/>
        <w:jc w:val="left"/>
        <w:rPr>
          <w:rFonts w:hAnsi="宋体" w:eastAsia="仿宋_GB2312" w:cs="宋体"/>
          <w:kern w:val="0"/>
          <w:sz w:val="36"/>
          <w:szCs w:val="36"/>
        </w:rPr>
      </w:pPr>
    </w:p>
    <w:p w14:paraId="68C451FB">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基本概况</w:t>
      </w:r>
    </w:p>
    <w:p w14:paraId="40265AFE">
      <w:pPr>
        <w:spacing w:line="600" w:lineRule="exact"/>
        <w:ind w:left="648" w:firstLine="643" w:firstLineChars="200"/>
        <w:jc w:val="left"/>
        <w:rPr>
          <w:rFonts w:hint="eastAsia" w:ascii="仿宋_GB2312" w:hAnsi="宋体" w:eastAsia="仿宋_GB2312"/>
          <w:b/>
          <w:sz w:val="32"/>
          <w:szCs w:val="32"/>
        </w:rPr>
      </w:pPr>
      <w:r>
        <w:rPr>
          <w:rFonts w:hint="eastAsia" w:ascii="仿宋_GB2312" w:hAnsi="宋体" w:eastAsia="仿宋_GB2312"/>
          <w:b/>
          <w:sz w:val="32"/>
          <w:szCs w:val="32"/>
        </w:rPr>
        <w:t>（一）部门单位基本情况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1、主要职能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伊犁哈萨克自治州救助管理站属于伊犁州民政局所属的副县级全额事业单位，主要职能：伊犁州救助管理站负责协调接受各县市救助的外地区受助人员,为受助人员提供住宿及站内突发疾病的医治；帮助与其亲属或者所在单位联系，对无交通费返回原单位的，提供乘车凭证等业务；对在城市生活无着的流浪乞讨人员（流浪少年儿童）实施救助、保障其基本生活权益。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2、机构人员构成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伊犁哈萨克自治州救助管理站无下属预算单位，无下设 处室。</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（2）2021年实有在职人员为 17 人，其中：</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行政在职  8 人（上年9人），同比与上年减少一人；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实有离休人员1人（上年1人）, 同比与上年一致。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实有退休人员8人（上年8人）, 同比与上年一致。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3、重点工作计划</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消防改造项目，计划投入50万元，伊犁州流浪未成年人救助保护中心建筑面积2058.36平方米，改造整套喷淋系统预算（包括主材钢管、辅料、人工费用）、烟感传感预算（包括烟感传感器、弱电）、吊顶预算（包括矿棉板、轻钢龙骨、丁字龙骨、边角铝及灯具辅料），室内消火栓及管网系统预算及拆除占用消防通道的车库预算。通过改造伊犁州流浪未成年人救助保护中心消防设施，给伊犁州流浪未成年人和其他弱势群体提供安全、舒适的居住照料环境，有效的遏止了各类火灾事故的发生，实现保护人身安全，减少火灾的危害。提升养老、儿童等服务机构安全稳定运行保障条件。</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伊犁州救助管理站工作购买服务项目，计划投入40.59万元，通过政府购买服务等社会力量，参与生活无着的流浪、乞讨人员救助管理工作，提供主动救助、照料护理、康复治疗、教育矫治、临时安置、返乡救助和未成年人社会保护等基本服务，提高服务水平，提升救助能力。</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（二）部门单位整体支出规模、使用方法和主要内容、涉及对象及范围等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1、部门单位整体支出规模</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2021年我单位全年预算数为 565.96万元，其中：年初批复的财政拨款为 139.82万元，年中追加 426.14万元，调整率304.78%。对比上年314.4万元,增加251.56万元，上升80.01%。</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2021年实际决算支出344.75万元，执行率60.91%，其中：</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基本支出136.80万元，占总支出的39.68%，主要用于本单位机构正常运转、完成日常工作任务而发生的各项支出。其中：工资福利支出107.61万元，主要用于在职和离退休人员基本工资、津贴补贴等人员经费。商品和服务支出12.82万元，主要用于办公费、印刷费、水电费、办公设备购置等。对个人和家庭的补助16.37万元，主要用于对个人和家庭的补助支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（2）项目支出 207.95万元，占总支出的60.32％。其中：伊犁州救助管理站取暖费项目，项目安排5.44万元，主要用于完成让受助人员感受到党和政府的温暖，需要提供符合基本条件的住处，为保障救助人员平安度过冬季；救助管理站伊犁州救助管理站维修改造项目，项目安排14.39万元，主要用于完成通过维修改造项目提升政府服务部门总体形象及绿化美化站内环境和救助水平，为派驻警力及值守人员提供工作生活必要条件，为前来求助的群众提供良好的居住环境，进一步增强救助对象的社会认同感。完成了救助站值班室改造4间，对站内水电暖、监控进行了改造，伊犁哈萨克自治州救助管理站2021年下半年购买服务项目项目安排20.73万元，主要用于通过政府购买服务等社会力量，参与生活无着的流浪、乞讨人员救助管理工作，提供主动救助、照料护理、康复治疗、教育矫治、临时安置、返乡救助和未成年人社会保护等基本服务，提高服务水平，提升救助能力；伊犁州救助管理站工作购买服务项目，项目安排40.59万元，主要用于完成通过政府购买服务等社会力量，参与生活无着的流浪、乞讨人员救助管理工作，提供主动救助、照料护理、康复治疗、教育矫治、临时安置、返乡救助和未成年人社会保护等基本服务，提高服务水平，提升救助能力；救助管理站伊犁哈萨克自治州救助管理站伊犁州流浪未成年人救助保护中心消防改造项目，项目安排43.65万元，主要用于完成通过改造伊犁州流浪未成年人救助保护中心消防设施，给伊犁州流浪未成年人和其他弱势群体提供安全、舒适的居住照料环境，有效的遏止了各类火灾事故的发生，实现保护人身安全，减少火灾的危害。提升养老、儿童等服务机构安全稳定运行保障条件。救助管理困难群众救助补助资金，项目安排4万元，主要用于完成一是负责协调接受各县市救助的外地区受助人员，为受助人员提供住宿及站内突发疾病的医治；二是帮助与其亲属或者所在单位联系，对无交通费返回原单位的，提供乘车凭证等业务；三是对在城市生活无着的流浪乞讨人员（流浪少年儿童）实施救助、保障其基本生活权益。预计救助人员达100人次。项目安排79.16，主要用于完成一是负责协调接受各县市救助的外地区受助人员，为受助人员提供住宿及站内突发疾病的医治；二是帮助与其亲属或者所在单位联系，对无交通费返回原单位的，提供乘车凭证等业务；三是对在城市生活无着的流浪乞讨人员（流浪少年儿童）实施救助、保障其基本生活权益。预计救助人员达120人次。</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（3）本年度重点项目支出0万元，重点支出保障率0%。其中重点保障项目是伊犁州流浪未成年人救助保护中心消防改造项目，由于疫情原因，该项目2021年12月31日项目完工，项目资金未使用。</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（4）本年度我单位全年政府采购预算 0 万元,实际用于政府采购金额2.3 万元，采购执行率100.00 %。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2、整体支出评价使用方法和主要内容、涉及对象及范围等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（1）整体支出评价使用方法</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本次我单位整体支出绩效自评采用比较法，原因是：实施情况与绩效目标、历史情况、不同部门和地区同类支出情况进行比较、投入与产出。结合以前年度的工作经验及绩效评价的目标要求掌握资金的使用效益，通过绩效目标与具体实施情况比较能够清晰的明确比较差异。</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（2）整体支出评价主要内容</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①绩效目标的设定情况。重点评价绩效目标设立的充分性、明确性、合理性以及细化程度。</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②资金投入和使用情况。重点评价资金分配过程、投入方式、资金到位、预算执行和结果。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③为实现绩效目标制定的制度、采取的措施等。包括项目管理制度、财务管理制度、资产管理制度和绩效跟踪管理措施等。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④绩效目标的实现程度和效果。绩效目标的实现程度包括产出数量、产出质量、产出时效和产出成本。效果包括经济效益、社会效益、生态效益、可持续影响以及服务对象满意度等。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（3）整体支出评价涉及对象及范围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涉及对象：本次评价对象是伊犁哈萨克自治州救助管理站所有财政资金支出活动。</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整体支出评价范围：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①基本支出138.93万元，其中：工资福利支出、商品和服务支出、对个人和家庭的补助支出，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②项目支出427.03万元：1、伊犁州救助管理站取暖费项目；2、救助管理站维修改造项目工程项目；3、伊犁州救助站工作购买服务项目4、中央财政困难群众救助补助资金，5、中央专项彩票公益金支持地[州、市]社会福利项目6、伊犁哈萨克自治州救助管理站伊犁州流浪未成年人救助保护中心消防改造项目，7、困难群众救助补助资金，8、困难群众救助补助资金。</w:t>
      </w:r>
      <w:bookmarkStart w:id="0" w:name="_Hlk43849111"/>
      <w:bookmarkEnd w:id="0"/>
    </w:p>
    <w:p w14:paraId="1FB1F5AB">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部门单位整体支出管理及使用情况</w:t>
      </w:r>
    </w:p>
    <w:p w14:paraId="0E9CCC6D">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二、部门单位整体支出管理及使用情况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（一）预算管理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1、预算编制管理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严格按照财政部门预算编制与预算调整的工作要求，在预算编制、分配依据充分的条件下，切实做好“先定目标再编预算”，确保预算分配结果合理。同时按照财政要求，部门预算及绩效目标在新疆政府网站上公开，广泛接受社会监督。</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2、预算支出管理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按照财政要求基本支出分月度申报资金使用计划，由财政部门按照进度每月按期拨付，人员支出按照工资计划发放工资；依照伊犁哈萨克自治州救助管理站《财务管理办法》相关规定和伊犁哈萨克自治州救助管理站《内控管理办法》规定流程，资金支出按照我内控体系中设定的流程申报审批进行；项目支出属于政府采购的，按照伊犁哈萨克自治州救助管理站《采购与招标管理办法》组织人员制定采购计划，按照财政局采购部门批复，进行公开招标、邀请招标等方式进行；属于非政府采购的项目，按照“三重一大”制度规定，重大项目支出上党组会研究决定。</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（二）基本支出管理及使用情况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基本支出预算安排138.93万元，实际到位138.93万元,实际支出136.80万元，占总支出的39.68％，其中：工资福利支出107.61万元、商品和服务支出12.82万元、对个人和家庭的补助16.37万元，主要用于在职人员公用经费、社保缴费、取暖费、办公费等日常开支。</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2021年基本支出比上年141.24万元,减少4.44万元，下降3.14%，支出下降的主要原因是减少人员调出。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2021年一般公共预算“三公”经费数为2.30万元，其中：因公出国（境）费 0.00万元，公务用车购置 0.00 万元，公务用车运行费2.30万元，公务接待费 0.00 万元。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一般公共预算“三公”经费比上年增加1.15万元，其中：因公出国（境）费增加0.00万元，主要原因是我单位本年度与上年度均未安排此项支出；公务用车购置费为0.00万元，主要原因是我单位本年度与上年度均未安排此项支出；公务用车运行费增加1.15万元，主要原因是我单位本年度增加了一辆车的编制，增加车辆运行费用；公务接待费增加0.00万元，主要原因是我单位本年度与上年度均未安排此项支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（三）专项支出管理及使用情况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1、专项资金安排落实、总投入等情况分析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2021年预算安排专项资金427.03万元，实际到位427.03万元, 到位率100.00％,其中:中央转移支付项目资金290.00万元，自治区资金54.00万元，本级安排83.03万元。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2、专项资金实际使用情况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专项资金支出207.95万元，占总支出的60.32%，其中2021年专项项目支出比上年207.5万元，增加0.45万元，上升0.22%。支出上升的主要原因是2021年度项目支出预算安排增加。其中：伊犁州救助管理站取暖费项目，项目安排5.44万元，主要用于完成让受助人员感受到党和政府的温暖，需要提供符合基本条件的住处，为保障救助人员平安度过冬季；救助管理站伊犁州救助管理站维修改造项目，项目安排14.39万元，主要用于完成通过维修改造项目提升政府服务部门总体形象及绿化美化站内环境和救助水平，为派驻警力及值守人员提供工作生活必要条件，为前来求助的群众提供良好的居住环境，进一步增强救助对象的社会认同感。完成了救助站值班室改造4间，对站内水电暖、监控进行了改造，伊犁哈萨克自治州救助管理站2021年下半年购买服务项目项目安排20.73万元，主要用于通过政府购买服务等社会力量，参与生活无着的流浪、乞讨人员救助管理工作，提供主动救助、照料护理、康复治疗、教育矫治、临时安置、返乡救助和未成年人社会保护等基本服务，提高服务水平，提升救助能力；伊犁州救助管理站工作购买服务项目，项目安排40.59万元，主要用于完成通过政府购买服务等社会力量，参与生活无着的流浪、乞讨人员救助管理工作，提供主动救助、照料护理、康复治疗、教育矫治、临时安置、返乡救助和未成年人社会保护等基本服务，提高服务水平，提升救助能力；救助管理站伊犁哈萨克自治州救助管理站伊犁州流浪未成年人救助保护中心消防改造项目，项目安排43.65万元，主要用于完成通过改造伊犁州流浪未成年人救助保护中心消防设施，给伊犁州流浪未成年人和其他弱势群体提供安全、舒适的居住照料环境，有效的遏止了各类火灾事故的发生，实现保护人身安全，减少火灾的危害。提升养老、儿童等服务机构安全稳定运行保障条件。救助管理困难群众救助补助资金，项目安排4万元，主要用于完成一是负责协调接受各县市救助的外地区受助人员，为受助人员提供住宿及站内突发疾病的医治；二是帮助与其亲属或者所在单位联系，对无交通费返回原单位的，提供乘车凭证等业务；三是对在城市生活无着的流浪乞讨人员（流浪少年儿童）实施救助、保障其基本生活权益。预计救助人员达100人次。项目安排79.16，主要用于完成一是负责协调接受各县市救助的外地区受助人员，为受助人员提供住宿及站内突发疾病的医治；二是帮助与其亲属或者所在单位联系，对无交通费返回原单位的，提供乘车凭证等业务；三是对在城市生活无着的流浪乞讨人员（流浪少年儿童）实施救助、保障其基本生活权益。预计救助人员达120人次。</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3、专项资金管理情况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为规范专项资金使用，提高专项资金使用效益，我单位主要采取四项措施。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一是制订专项资金管理制度；二是各专项资金建立了专帐；三是制订了项目实施方案；四是认真组织项目验收。切实确保专项资金都做到了专款专用。其中：</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制定了《伊犁哈萨克自治州救助管理站资金管理办法》，《伊犁哈萨克自治州救助管理站资金管理办法》专项资金管理办法，各项资金使用审批流程均按规定办理。涉及“三重一大”内容，严格按照规定提请局党组会审议决定，包括项目资金分配、重大项目确定、大额资金支付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（2）建立各个专项资金专帐，做到有据可依，有据可查。</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（3）制订了各个项目实施方案，确保项目落实。</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（4）认真组织各个项目验收，确保年初目标按期完成。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专项资金涉及政府采购项目的，按照局《采购与招标管理办法》组织人员制定采购计划，按照财政局采购部门批复，进行公开招标、邀请招标等方式进行。</w:t>
      </w:r>
    </w:p>
    <w:p w14:paraId="37DCA4AD">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部门单位专项组织实施情况</w:t>
      </w:r>
    </w:p>
    <w:p w14:paraId="745ED414">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三、部门单位专项组织实施情况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(一)专项组织情况分析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1、前期准备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年初我单位下发的伊犁州流浪未成年人救助保护中心消防改造项目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2、组织实施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一是对专项项目预算执行情况进行分析，再考察专项项目产出、项目目标的实现程度和管理有效性，从而总结项目取得的业绩和经验，发现项目存在的不足之处。</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是对财政资金使用合规性进行评价，主要评价：①专项资金是否存在截留、挪用，支付审批合规、是否存在用途改变、范围超支和虚列项目支出等情况；②项目实施是否符合专项管理办法，流程和管理制度合规；③项目完成情况的真实性和绩效目标完成情况分析。通过评价发现财政资金使用中存在的合规性问题，总结财务内控中存在的不足之处。</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截止12月31日，该专项均按照时间计划保质、保量完成。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(二)专项管理情况分析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1、资金到位及使用情况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2021年涉及专项资金427.03万元，实际到位427.03万元，资金到位率100.00%。截止到2021年12月 31 日执行207.95万元，执行率48.70%。其中：2021年结转专项资金0万元，实际执行0万元，执行率为0.00%；2021年新增专项资金427.03万元，实际执行207.95万元，执行率为48.70%。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2、资金管理情况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我单位严格执行《专项资金管理办法》文件精神要求，加强对专项资金的绩效管理，确保专款专用，提高专项资金使用效益。遵守相关法律法规，严肃财经纪律，自觉接受财政、审计、监察监督检查。</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(三)项目实施情况分析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1、组织情况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哈萨克自治州救助管理站，根据2021年9个项目的绩效目标及工作内容，将其细化分工至本单位业务科室，加强组织领导，明确分工，各司其职，抓好工作目标任务的落实完成，同时年中要求各科室按照年初预算对本科室绩效工作进行自查自评，并报上半年工作情况总结，8月和12月对工作情况进行跟踪检查，确保绩效目标如期实现，不断提高财政资金配置和使用效益。</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2、管理情况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伊犁哈萨克自治州救助管理站，实施的9个项目，由相关业务科室指派专人进行全过程跟踪管理，科室负责人统筹推进项目实施，单位领导不定期对项目进度进行调度，并对项目质量进行控制。</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3、监管情况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从项目实施方案、项目预算、项目建设进度、项目成本、项目验收等环节，全过程对项目进行监管，并向本单位主要领导报告，以推进项目建设和提高项目质量，以发挥资金使用效益。</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(四)绩效情况分析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1、成本控制情况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哈萨克自治州救助管理站，所涉及专项项目均已于专项资金下达后按照资金文件及绩效管理要求设置《项目绩效目标表》。9个专项项目预算总额为427.03万元，在项目实施过程中，业务人员加强项目管理，合理控制项目成本，截止项目结束，9个项目总成本为207.95万元，不存在超支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2、成本节约情况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伊犁哈萨克自治州救助管理站，所涉及专项项目使用资金比专项项目总预算减少0.00万元，项目节约率为0.00%。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(五)项目效率性分析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1、实施进度</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2021年伊犁哈萨克自治州救助管理站共涉及专项项目9个，截止到2021年底，通过专项项目实施过程中的有效监督，我单位已完成专项项目数量7个，未完成专项项目数量2个，项目总体完成率为80.00%。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2、完成质量</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9个专项项目完成质量情况如下：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①伊犁州救助管理站取暖费补助项目完成救助站为让受助人员感受到党和政府的温暖，需要提供符合基本条件的住处，为保障救助人员平安度过冬季。</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②伊犁州救助站工作购买服务项目完成政府购买服务等社会力量，参与生活无着的流浪、乞讨人员救助管理工作，提供主动救助、照料护理、康复治疗、教育矫治、临时安置、返乡救助和未成年人社会保护等基本服务，提高服务水平，提升救助能力，用于提供主动救助、照料护理、康复治疗。</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③伊犁州救助管理站维修改造项目通过这一维修改造项目提升政府服务部门总体形象及绿化美化站内环境和救助水平，为派驻警力及值守人员提供工作生活必要条件，为前来求助的群众提供良好的居住环境，进一步增强救助对象的社会认同感。完成了救助站值班室改造4间，对站内水电暖、监控进行了改造。</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④伊犁州流浪未成年人救助保护中心消防改造提升项目通过提升救助保护中心建筑面积2058.36平方米，通过改造伊犁州流浪未成年人救助保护中心消防设施，给伊犁州流浪未成年人和其他弱势群体提供安全、舒适的居住照料环境，有效的遏止了各类火灾事故的发生，实现保护人身安全，减少火灾的危害。提升养老、儿童等服务机构安全稳定运行保障条件。 已完成站内消防主体改造。</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⑤伊犁州救助管理站工作购买服务项目通过政府购买服务等社会力量，参与生活无着的流浪、乞讨人员救助管理工作，提供主动救助、照料护理、康复治疗、教育矫治、临时安置、返乡救助和未成年人社会保护等基本服务，提高服务水平，提升救助能力。</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⑥伊犁州救助管理站困难群众补助金项目，主要用于完成负责协调接受各县市救助的外地区受助人员，为受助人员提供住宿及站内突发疾病的医治；帮助与其亲属或者所在单位联系，对无交通费返回原单位的，提供乘车凭证等业务；对在城市生活无着的流浪乞讨人员（流浪少年儿童）实施救助、保障其基本生活权益</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⑦伊犁州救助管理站困难群众补助金项目，主要用于完成负责协调接受各县市救助的外地区受助人员，为受助人员提供住宿及站内突发疾病的医治；帮助与其亲属或者所在单位联系，对无交通费返回原单位的，提供乘车凭证等业务；对在城市生活无着的流浪乞讨人员（流浪少年儿童）实施救助、保障其基本生活权益。</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⑧伊犁州救助管理站困难群众补助金项目，因为资金12月到账，项目未开展，资金未使用。</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⑨伊犁州救助管理站困难群众补助金项目，用于消防项目改造，项目预算工程没有决算，资金未使用。</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(六)项目效益性分析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9个专项项目预期目标完成程度、实施对经济和社会的影响如下: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1、伊犁州救助管理站取暖费补助项目完成提供符合基本条件的住处，为保障救助人员平安度过冬季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伊犁州救助管理站维修改造项目项目完成通过维修改造项目提升政府服务部门总体形象及绿化美化站内环境和救助水平，为派驻警力及值守人员提供工作生活必要条件，为前来求助的群众提供良好的居住环境，进一步增强救助对象的社会认同感。完成了救助站值班室改造4间，对站内水电暖、监控进行了改造。</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伊犁哈萨克自治州救助管理站购买服务项目完成通过政府购买服务等社会力量，参与生活无着的流浪、乞讨人员救助管理工作，提供主动救助、照料护理、康复治疗、教育矫治、临时安置、返乡救助和未成年人社会保护等基本服务，提高服务水平，提升救助能力。</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4、伊犁哈萨克自治州救助管理站伊犁州流浪未成年人救助保护中心消防改造提升项目完成通过伊犁州流浪未成年人救助保护中心建筑面积2058.36平方米，改造整套喷淋系统预算（包括主材钢管、辅料、人工费用）、烟感传感预算（包括烟感传感器、弱电）、吊顶预算（包括矿棉板、轻钢龙骨、丁字龙骨、边角铝及灯具辅料），室内消火栓及管网系统预算及拆除占用消防通道的车库预算。通过改造伊犁州流浪未成年人救助保护中心消防设施，给伊犁州流浪未成年人和其他弱势群体提供安全、舒适的居住照料环境，有效的遏止了各类火灾事故的发生，实现保护人身安全，减少火灾的危害。提升养老、儿童等服务机构安全稳定运行保障条件。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5、伊犁哈萨克自治州救助管理站购买服务项目完成通过政府购买服务等社会力量，参与生活无着的流浪、乞讨人员救助管理工作，提供主动救助、照料护理、康复治疗、教育矫治、临时安置、返乡救助和未成年人社会保护等基本服务，提高服务水平，提升救助能力。</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6、伊犁州救助管理站困难群众补助金项目用于帮助伊犁州困难群众查明身份滞留流浪乞讨人员返乡情况，以确保国家保障救助人员的基本生活权益。</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7、伊犁州流浪未成年人救助保护中心消防改造项目完成通过伊犁州流浪未成年人救助保护中心建筑面积2058.36平方米，改造整套喷淋系统预算（包括主材钢管、辅料、人工费用）、烟感传感预算（包括烟感传感器、弱电）、吊顶预算（包括矿棉板、轻钢龙骨、丁字龙骨、边角铝及灯具辅料），室内消火栓及管网系统预算及拆除占用消防通道的车库预算。通过改造伊犁州流浪未成年人救助保护中心消防设施，给伊犁州流浪未成年人和其他弱势群体提供安全、舒适的居住照料环境，有效的遏止了各类火灾事故的发生，实现保护人身安全，减少火灾的危害。提升养老、儿童等服务机构安全稳定运行保障条件。</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8、伊犁州救助管理站困难群众补助金项目用于是负责协调接受各县市救助的外地区受助人员，为受助人员提供住宿及站内突发疾病的医治；帮助与其亲属或者所在单位联系，对无交通费返回原单位的，提供乘车凭证等业务；对在城市生活无着的流浪乞讨人员（流浪少年儿童）实施救助、保障其基本生活权益。预计救助人员达120人次。</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9、伊犁州救助管理站困难群众补助金项目负责协调接受各县市救助的外地区受助人员，为受助人员提供住宿及站内突发疾病的医治；帮助与其亲属或者所在单位联系，对无交通费返回原单位的，提供乘车凭证等业务；对在城市生活无着的流浪乞讨人员（流浪少年儿童）实施救助、保障其基本生活权益。预计救助人员达100人次。</w:t>
      </w:r>
    </w:p>
    <w:p w14:paraId="12A3AD8D">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资产管理情况</w:t>
      </w:r>
    </w:p>
    <w:p w14:paraId="0A4F0C23">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四、资产管理情况（一）资产配置情况2021年我单位资产总额340.81万元，其中流动资产 21.08万元（其中：货币资金2.80万元，其他应收款18.28万元），固定资产净值276.08万元（其中：土地、房屋及构筑物253.66万元，占固定资产净值的91.88%；通用设备8.60万元，占固定资产净值的3.11%；专用设备3.33万元，占固定资产净值的1.20%；其他10.48万元 。本年度流动资产21.08万元，比上年减61.86万元，原因是：货币资金减少，其他应收款减少。本年度固定资产641.64万元，比上年增加11.85万元，原因是：本年度新增固定资产维修改造项目。实际在用固定资产641.64万元，固定资产利用率100%.（二）资产管理情况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0B4A597E">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部门单位整体支出绩效情况</w:t>
      </w:r>
    </w:p>
    <w:p w14:paraId="346EF8A1">
      <w:pPr>
        <w:spacing w:line="600" w:lineRule="exact"/>
        <w:ind w:firstLine="1120" w:firstLineChars="3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
          <w:sz w:val="32"/>
          <w:szCs w:val="32"/>
        </w:rPr>
        <w:t>五、部门单位整体支出绩效情况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（一）经济效益评价</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2021年度我单位年初预算安排139.82万元，年中调整426.14万元，截止12月底支出344.75万元，执行率60.91%。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1、预算资金执行过程中均按照年初预算分配情况均做到专款专用，未出现资金侵、挪占情况。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2、全年按照部门预算进行成本控制，全部控制在厉行节约指标数内。其他支出按财政部门下达的计划实施，全年没有项目超支。</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（二）效率性评价</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在上级主管部门及财政部门的大力支持和院领导的正确领导下，我单位迎难而上、务实重干，积极推动各项社会福利工作取得了新的进展，为促进经济持续健康发展与社会和谐稳定提供了有力的支撑和保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1、对受助人员进行安置。</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根据民政部、公安部印发《关于加强生活无着流浪乞讨人员身份查询和照料安置工作的意见》，伊犁州党委办公室《关于加强和改进生活无着流浪乞讨人员救助管理工作的实施意见》文件精神，按照伊犁州民政局《关于安置长期滞留流浪乞讨人员的通知》要求，为切实维护流浪乞讨人员合法权益，保障其人</w:t>
      </w:r>
      <w:r>
        <w:rPr>
          <w:rFonts w:hint="eastAsia" w:ascii="仿宋_GB2312" w:hAnsi="宋体" w:eastAsia="仿宋_GB2312"/>
          <w:b/>
          <w:sz w:val="32"/>
          <w:szCs w:val="32"/>
          <w:lang w:val="en-US" w:eastAsia="zh-CN"/>
        </w:rPr>
        <w:t>身</w:t>
      </w:r>
      <w:r>
        <w:rPr>
          <w:rFonts w:hint="eastAsia" w:ascii="仿宋_GB2312" w:hAnsi="宋体" w:eastAsia="仿宋_GB2312"/>
          <w:b/>
          <w:sz w:val="32"/>
          <w:szCs w:val="32"/>
        </w:rPr>
        <w:t>安全和基本生活，将查不到户籍身份信息、滞留州救助站和托养机构超过3个月以上的救助对象13名流浪乞讨人员，进行就地安置。其中张菊芳等6名人员安置在康仁医院，夏玉花等7名人员安置州社会福利院实施集中供养。</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2、开展街面巡查救助。</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站组织站外工作人员开展街头巡查工作，坚持每周三天派出流动救助车，日查夜巡，在医院、地下通道、天桥、自动取款机、城乡结合部等可能露宿地区进行巡查。对符合救助条件的按规定实施救助，对不愿到救助管理站接受救助的流浪乞讨人员，工作人员对其进行政策宣传和劝导，并为遇冷遇困的流浪乞讨人员发放棉衣、棉裤、棉被、饼干、矿泉水、方便面、一次性医用口罩等抗寒及防疫物资，有效减少了“强行讨要”、“职业乞讨”等不文明现象。</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3、完善街面救助程序。</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站在家福利彩票销售站设立了临时救助点，对街面发现流浪乞讨人员时，告之救助管理机构联系电话；属于未成年人、老年人、精神障碍患者等特殊救助对象时，要及时向救助管理机构报告。并与交通部门积极配合，开辟了绿色通道，为受助人员办理车票、进站乘车及接送等服务。</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4、开展了“夏季送清凉”“寒冬送温暖”专项活动。</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站每年的7月至9月份开展“夏季送清凉”、11月至次年3月份开展“寒冬送温暖”专项救助活动。在极端天气重点对桥梁涵洞、地下通道、热力管线、废弃房屋、火车站等流浪乞讨人员集中活动和露宿区域进行巡查，做到早发现、早救助、早处置，确保不发生冻饿死伤等极端事件。</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截</w:t>
      </w:r>
      <w:r>
        <w:rPr>
          <w:rFonts w:hint="eastAsia" w:ascii="仿宋_GB2312" w:hAnsi="宋体" w:eastAsia="仿宋_GB2312"/>
          <w:b/>
          <w:sz w:val="32"/>
          <w:szCs w:val="32"/>
          <w:lang w:val="en-US" w:eastAsia="zh-CN"/>
        </w:rPr>
        <w:t>至</w:t>
      </w:r>
      <w:bookmarkStart w:id="1" w:name="_GoBack"/>
      <w:bookmarkEnd w:id="1"/>
      <w:r>
        <w:rPr>
          <w:rFonts w:hint="eastAsia" w:ascii="仿宋_GB2312" w:hAnsi="宋体" w:eastAsia="仿宋_GB2312"/>
          <w:b/>
          <w:sz w:val="32"/>
          <w:szCs w:val="32"/>
        </w:rPr>
        <w:t>目前，全年开展救助102人，其中疫情期间救助76人。安排护送疆内疆外救助对象到户籍地23人。开展街面职业流浪乞讨人员劝导引导、发放防疫物资和生活物品200余人次。将长期滞留站内的3名救助对象安置到州社会福利院。</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（三）有效性评价</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部门支出的有效性主要体现在我单位各项工作成效上，一是各项制度进一步夯实，二是医疗能力能力进一步提升，三是医疗环境进一步改善，四是社会服务水平进一步提高，五是社会服务理念进一步推进，七是各项管理水平进一步增强，详细情况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伊犁哈萨克自治州救助管理站部门单位整体绩效目标共设置一级指标3个，二级指标6个，三级指标13个，详细说明如下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负责协调接受各县市救助的外地区受助人员，为受助人员提供住宿及站内突发疾病的医治；帮助与其亲属或者所在单位联系，对无交通费返回原单位的，提供乘车凭证等业务；对在城市生活无着的流浪乞讨人员（流浪少年儿童）实施救助、保障其基本生活权益。</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2.保障部门单位人员发放工资福利支出及运转支出。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3.为保障救助人员平安度过冬季。</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1、数量指标：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指标1：综合楼采暖面积（平方米），指标值：3056平方米，实际完成值3053.73平方米，指标完成率99.92%；</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指标2：保障部门单位人员人数，指标值：=11人，实际完成值：10人，指标完成率90.90%；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2、质量指标：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指标1：工资及公用经费保障率，指标值：=100.00%，实际完成值：100.00%，指标完成率100.00%；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指标2：采暖期间温度达标率，指标值：≥98.00%，实际完成值：100.00%，指标完成率102.04%；</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3、时效指标：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指标1：采暖期间供暖及时率，指标值：≥98%，实际完成值：100.00%，指标完成率102.04%；</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指标2：资金发放及时性，指标值：=100%，实际完成值：100%，指标完成率100.00%；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4、成本指标：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指标1：采暖费用标准，指标值：17.8元/平方米，实际完成值：17.8元/平方米，指标完成率100.00%；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指标2：人均支出标准，指标值：≤10.87万元，实际完成值：11.60万元，指标完成率0%；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指标3：人均运转经费数，指标值：≤1.34万元，实际完成值：1.28万元，指标完成率95.52%；</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5、社会效益指标：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指标1：保障救助人员的基本生活权益，指标值：有效保障，实际完成值：有效保障，指标完成率100.00%；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指标2：保障本单位工作正常运转，指标值：有效保障，实际完成值：有效保障，指标完成率100.00%；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6、可持续影响指标：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指标1：困难群众基本生活救助提高，指标值：不断提升，实际完成值：不断提升，指标完成率100.00%；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7、满意度指标：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指标1：工作人元满意度，指标值：≥96%，实际完成值：100%，指标完成率104.17%。</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指标2：救助人员，指标值：≥96%，实际完成值：100%，指标完成率104.17%；</w:t>
      </w:r>
    </w:p>
    <w:p w14:paraId="4D3E30DF">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存在的主要问题</w:t>
      </w:r>
    </w:p>
    <w:p w14:paraId="5912FC22">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六、存在的主要问题六、存在的主要问题1.预算编制工作有待细化，预算编制不够明确和细化，整体绩效预算编制的合理性需要提高，预算执行力度还要进一步加强。2.相关工作人员经验不足，绩效管理意识不高，对于指标的编制还不够完善。缺乏科学、统一、完整的财政绩效评价指标体系，并且绩效管理缺乏约束和制度保障。</w:t>
      </w:r>
    </w:p>
    <w:p w14:paraId="65E5B227">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改进措施和建议</w:t>
      </w:r>
    </w:p>
    <w:p w14:paraId="490E58CB">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七、改进措施和建议（一）改进措施加强业务部门与资金管理部门的沟通与联系，加强年初预算的编制和后续的实施，及时根据实际调整预算方案，促使业务工作与资金使用的有效结合，提高项目资金的使用效率和效益。七、改进措施和建议（一）改进措施加强业务部门与资金管理部门的沟通与联系，加强年初预算的编制和后续的实施，及时根据实际调整预算方案，促使业务工作与资金使用的有效结合，提高项目资金的使用效率和效益。（二）建议提高预算编制的精准性，加强与上级财政部门的沟通，严格落实资金支付进度。</w:t>
      </w:r>
    </w:p>
    <w:p w14:paraId="37F06586">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附表：《部门整体支出绩效目标自评表》</w:t>
      </w:r>
    </w:p>
    <w:p w14:paraId="550E916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15CD0AB9"/>
    <w:rsid w:val="464C39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33</Pages>
  <Words>12223</Words>
  <Characters>12952</Characters>
  <Lines>2</Lines>
  <Paragraphs>1</Paragraphs>
  <TotalTime>12</TotalTime>
  <ScaleCrop>false</ScaleCrop>
  <LinksUpToDate>false</LinksUpToDate>
  <CharactersWithSpaces>13013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张涛</cp:lastModifiedBy>
  <dcterms:modified xsi:type="dcterms:W3CDTF">2025-02-28T09:37:12Z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eyJoZGlkIjoiZTJlNDBmZDg4NzQzM2UxZWE4MWMzYTNmYjU4NjJhMzkiLCJ1c2VySWQiOiIzODc1NDM2MTYifQ==</vt:lpwstr>
  </property>
  <property fmtid="{D5CDD505-2E9C-101B-9397-08002B2CF9AE}" pid="3" name="KSOProductBuildVer">
    <vt:lpwstr>2052-12.1.0.19770</vt:lpwstr>
  </property>
  <property fmtid="{D5CDD505-2E9C-101B-9397-08002B2CF9AE}" pid="4" name="ICV">
    <vt:lpwstr>D9B32F0C68CB4144AF399C58C663B481_12</vt:lpwstr>
  </property>
</Properties>
</file>