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5B3F9">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2B863724">
      <w:pPr>
        <w:spacing w:line="540" w:lineRule="exact"/>
        <w:jc w:val="center"/>
        <w:rPr>
          <w:rFonts w:ascii="方正小标宋_GBK" w:hAnsi="华文中宋" w:eastAsia="方正小标宋_GBK" w:cs="宋体"/>
          <w:b/>
          <w:kern w:val="0"/>
          <w:sz w:val="48"/>
          <w:szCs w:val="48"/>
        </w:rPr>
      </w:pPr>
    </w:p>
    <w:p w14:paraId="56FE3831">
      <w:pPr>
        <w:spacing w:line="540" w:lineRule="exact"/>
        <w:jc w:val="center"/>
        <w:rPr>
          <w:rFonts w:ascii="方正小标宋_GBK" w:hAnsi="华文中宋" w:eastAsia="方正小标宋_GBK" w:cs="宋体"/>
          <w:b/>
          <w:kern w:val="0"/>
          <w:sz w:val="48"/>
          <w:szCs w:val="48"/>
        </w:rPr>
      </w:pPr>
    </w:p>
    <w:p w14:paraId="71BEA104">
      <w:pPr>
        <w:spacing w:line="540" w:lineRule="exact"/>
        <w:jc w:val="center"/>
        <w:rPr>
          <w:rFonts w:ascii="方正小标宋_GBK" w:hAnsi="华文中宋" w:eastAsia="方正小标宋_GBK" w:cs="宋体"/>
          <w:b/>
          <w:kern w:val="0"/>
          <w:sz w:val="48"/>
          <w:szCs w:val="48"/>
        </w:rPr>
      </w:pPr>
    </w:p>
    <w:p w14:paraId="393401E7">
      <w:pPr>
        <w:spacing w:line="540" w:lineRule="exact"/>
        <w:jc w:val="center"/>
        <w:rPr>
          <w:rFonts w:ascii="方正小标宋_GBK" w:hAnsi="华文中宋" w:eastAsia="方正小标宋_GBK" w:cs="宋体"/>
          <w:b/>
          <w:kern w:val="0"/>
          <w:sz w:val="48"/>
          <w:szCs w:val="48"/>
        </w:rPr>
      </w:pPr>
    </w:p>
    <w:p w14:paraId="1B39C0AE">
      <w:pPr>
        <w:spacing w:line="540" w:lineRule="exact"/>
        <w:jc w:val="center"/>
        <w:rPr>
          <w:rFonts w:ascii="方正小标宋_GBK" w:hAnsi="华文中宋" w:eastAsia="方正小标宋_GBK" w:cs="宋体"/>
          <w:b/>
          <w:kern w:val="0"/>
          <w:sz w:val="48"/>
          <w:szCs w:val="48"/>
        </w:rPr>
      </w:pPr>
    </w:p>
    <w:p w14:paraId="11A18AD0">
      <w:pPr>
        <w:spacing w:line="540" w:lineRule="exact"/>
        <w:jc w:val="center"/>
        <w:rPr>
          <w:rFonts w:ascii="方正小标宋_GBK" w:hAnsi="华文中宋" w:eastAsia="方正小标宋_GBK" w:cs="宋体"/>
          <w:b/>
          <w:kern w:val="0"/>
          <w:sz w:val="48"/>
          <w:szCs w:val="48"/>
        </w:rPr>
      </w:pPr>
    </w:p>
    <w:p w14:paraId="7D56F87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0C87FD0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58039830">
      <w:pPr>
        <w:spacing w:line="540" w:lineRule="exact"/>
        <w:jc w:val="center"/>
        <w:rPr>
          <w:rFonts w:ascii="华文中宋" w:hAnsi="华文中宋" w:eastAsia="华文中宋" w:cs="宋体"/>
          <w:b/>
          <w:kern w:val="0"/>
          <w:sz w:val="52"/>
          <w:szCs w:val="52"/>
        </w:rPr>
      </w:pPr>
    </w:p>
    <w:p w14:paraId="1CF259AF">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186745CD">
      <w:pPr>
        <w:spacing w:line="540" w:lineRule="exact"/>
        <w:jc w:val="center"/>
        <w:rPr>
          <w:rFonts w:hAnsi="宋体" w:eastAsia="仿宋_GB2312" w:cs="宋体"/>
          <w:kern w:val="0"/>
          <w:sz w:val="30"/>
          <w:szCs w:val="30"/>
        </w:rPr>
      </w:pPr>
    </w:p>
    <w:p w14:paraId="4CED77EE">
      <w:pPr>
        <w:spacing w:line="540" w:lineRule="exact"/>
        <w:jc w:val="center"/>
        <w:rPr>
          <w:rFonts w:hAnsi="宋体" w:eastAsia="仿宋_GB2312" w:cs="宋体"/>
          <w:kern w:val="0"/>
          <w:sz w:val="30"/>
          <w:szCs w:val="30"/>
        </w:rPr>
      </w:pPr>
    </w:p>
    <w:p w14:paraId="4D1EB09D">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2D6A57FE">
      <w:pPr>
        <w:spacing w:line="540" w:lineRule="exact"/>
        <w:jc w:val="center"/>
        <w:rPr>
          <w:rFonts w:hAnsi="宋体" w:eastAsia="仿宋_GB2312" w:cs="宋体"/>
          <w:kern w:val="0"/>
          <w:sz w:val="30"/>
          <w:szCs w:val="30"/>
        </w:rPr>
      </w:pPr>
    </w:p>
    <w:p w14:paraId="63BE86C2">
      <w:pPr>
        <w:spacing w:line="540" w:lineRule="exact"/>
        <w:jc w:val="center"/>
        <w:rPr>
          <w:rFonts w:hAnsi="宋体" w:eastAsia="仿宋_GB2312" w:cs="宋体"/>
          <w:kern w:val="0"/>
          <w:sz w:val="30"/>
          <w:szCs w:val="30"/>
        </w:rPr>
      </w:pPr>
    </w:p>
    <w:p w14:paraId="1F44B85D">
      <w:pPr>
        <w:spacing w:line="540" w:lineRule="exact"/>
        <w:jc w:val="center"/>
        <w:rPr>
          <w:rFonts w:hAnsi="宋体" w:eastAsia="仿宋_GB2312" w:cs="宋体"/>
          <w:kern w:val="0"/>
          <w:sz w:val="30"/>
          <w:szCs w:val="30"/>
        </w:rPr>
      </w:pPr>
    </w:p>
    <w:p w14:paraId="2A61933D">
      <w:pPr>
        <w:spacing w:line="540" w:lineRule="exact"/>
        <w:rPr>
          <w:rFonts w:hAnsi="宋体" w:eastAsia="仿宋_GB2312" w:cs="宋体"/>
          <w:kern w:val="0"/>
          <w:sz w:val="30"/>
          <w:szCs w:val="30"/>
        </w:rPr>
      </w:pPr>
    </w:p>
    <w:p w14:paraId="7C5A61A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260287E">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2DFE3CDF">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0D71FB5A">
      <w:pPr>
        <w:spacing w:line="700" w:lineRule="exact"/>
        <w:jc w:val="left"/>
        <w:rPr>
          <w:rFonts w:hAnsi="宋体" w:eastAsia="仿宋_GB2312" w:cs="宋体"/>
          <w:kern w:val="0"/>
          <w:sz w:val="36"/>
          <w:szCs w:val="36"/>
        </w:rPr>
      </w:pPr>
    </w:p>
    <w:p w14:paraId="6E61B129">
      <w:pPr>
        <w:spacing w:line="700" w:lineRule="exact"/>
        <w:jc w:val="left"/>
        <w:rPr>
          <w:rFonts w:hAnsi="宋体" w:eastAsia="仿宋_GB2312" w:cs="宋体"/>
          <w:kern w:val="0"/>
          <w:sz w:val="36"/>
          <w:szCs w:val="36"/>
        </w:rPr>
      </w:pPr>
    </w:p>
    <w:p w14:paraId="20CD2773">
      <w:pPr>
        <w:spacing w:line="700" w:lineRule="exact"/>
        <w:jc w:val="left"/>
        <w:rPr>
          <w:rFonts w:hAnsi="宋体" w:eastAsia="仿宋_GB2312" w:cs="宋体"/>
          <w:kern w:val="0"/>
          <w:sz w:val="36"/>
          <w:szCs w:val="36"/>
        </w:rPr>
      </w:pPr>
    </w:p>
    <w:p w14:paraId="68C451F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40265AFE">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1、主要职能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政协办公厅是负责政协伊犁哈萨克自治州委员会政治协商、民主监督、参政议政履职活动的主要职能部门。主要职责：（1）负责政协全体会议、常委会议、季度协商会议、政协工作会议、党组会议、主席会议、机关党组会议、秘书长会议、专题工作会议、委员专题会议及其他重要会议的组织和服务工作。（2）负责州政协委员的联系以及视察、学习、培训、调研、专题协商议政等活动的具体组织、服务工作。（3）负责驻伊全国政协委员、自治区政协委员与州党委、州人大、州人民政府及有关部门、本州各地、各县市政协的工作联系，负责政协各参加单位的活动联系。（4）负责州政协机关干部人事管理（含离退休干部）、机关党务、纪检、计生、文件档案管理、保密和办文、办会等工作。(5)负责接待来伊调研的全国、自治区政协，来访的海内外人士有关友好人士和对外联谊工作。（6）承办州政协党组会议和主席会议交办的其他事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2、机构人员构成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机构设置：伊犁州政协机关无下属预算单位，伊犁州政协机关现有5个专委会：提案委员会、经济委员会、民族宗教和社会法制委员会、教科卫体和人口资源环境委员会、文化文史和学习委员会，办公厅下设秘书处、政联处、行政处、老干处、研究室和机关党委，另有机关服务中心1个。</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（2）2021年伊犁州政协办公厅实有在职人员为51人，其中：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行政在职37 人（上年37人），与上年一致；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事业在职14人（上年14人），与上年一致；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实有离休人员2人（上年2人）,与上年一致。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实有退休人员92人（上年93人）, 同比上年减少1人。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3、重点工作计划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政协全委会会议及常委会会议项目，计划投入135.5万元，要保障完成2021年度政协伊犁州第十三届五次委员会全体会议及4次常委会议顺利圆满召开，进一步推进政协工作的制度化、规范化和程序化建设，充分发挥协商民主重要渠道和专门协商机构作用，为推动自治州经济建设、民生改善、社会和谐和民主政治建设作出积极贡献，增强政协的凝聚力，扩大政协的影响力。</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2021年我单位全年预算数为1547.28万元，其中：年初批复的财政拨款数为1370.84万元，年中追加资金176.44万元，调整率12.87%。对比上年1423.92万元减少123.36万元，下降8.66%。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2021年实际决算支出1546.91万元，执行率99.98%，其中：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1）基本支出1177.32万元，占总支出的76.11％，主要用于本部门机构正常运转、完成日常工作任务而发生的各项支出。其中：工资福利支出879.05万元，主要用于在职和离退休人员基本工资、津贴补贴等人员经费。商品和服务支出157.80万元，主要用于办公费、印刷费、水电费、办公设备购置等。对个人和家庭的补助140.17万元，主要用于离休人员离休费、退休人员统筹外退休费、死亡人员抚恤金、生活补助、奖励金、其他对个人和家庭的补助等。资本性支出0.30万元，主要用于办公设备购置、其他资本性支出等。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支出369.59万元，占总支出的23.89％。其中：政协全委会议项目安排150.05万元，主要用于完成2021年伊犁州政协2次全委会议和4次常委会议期间的食宿，场租、印刷等费用开支，保障了州政协全委会及常委会的顺利圆满召开；政协业务工作专项项目安排136万元，主要用于完成完成履行政治协商、民主监督、参政议政职能，保障伊犁州政协各项专项业务工作的正常开展；州政协离退休省部级领导交通费及安保人员保障项目安排36.96万元，主要用于完成伊犁州政协离退休副省级领导干部4人，保障离退休领导日常生活，交通出行便利，提高了生活质量；与保安公司签订劳务用工合同安排保安人员6名24小时机关值勤，保障了州政协办公大楼安保工作的平稳运行，使总目标的各项措施得到了落实；政协办公大楼供暖保障项目安排10.78万元，主要用于完成保障政协办公大楼的正常供暖；基层政协补助经费项目安排20万元，主要用于完成完成弥补了政协机关经费不足，保证了政协机关各项工作正常运转，加强了基层政协工作；印刷出版《庆百年华诞·政协委员风采录》（上下篇）和《庆百年华诞·政协委员视角摄影作品集》的项目安排15.80万元，主要用于完成印刷出版《庆百年华诞·政协委员风采录》与《庆百年华诞·政协委员视角摄影作品集》，展现伊犁州各级政协组织、广大政协委员和政协工作者在党的领导下，为推进伊犁州稳定发展改革各项事业凝心聚力、砥砺前行、接续奋斗的风采风貌。</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（3）本年度重点项目支出286.05万元，重点支出保障率77.40%。其中重点保障项目是政协全委会议项目和政协业务工作专项项目。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（4）本年度我部门全年政府采购预算86.15万元,实际用于政府采购金额81.65万元，采购执行率100 %。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次伊犁州政协办公厅整体支出绩效自评采用比较法和成本效益分析法方法，原因是：对绩效目标预期指标值与实施情况进行比较，以及将一定时期内总成本与总效益进行对比分析，以评价绩效目标实现程度对该项目进行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涉及对象：次评价对象是伊犁州政协办公厅单位所有财政资金支出活动。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整体支出评价范围：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①基本支出1177.69万元，其中：工资福利支出、商品和服务支出、、对个人和家庭的补助支出、资本性支出。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项目支出369.59万元：政协全委会议项目、政协业务工作专项、州政协离退休省部级领导交通费及安保人员保障项目、政协办公大楼供暖保障项目、基层政协补助经费项目、印刷出版《庆百年华诞·政协委员风采录》（上下篇）和《庆百年华诞·政协委员视角摄影作品集》的项目。</w:t>
      </w:r>
      <w:bookmarkStart w:id="0" w:name="_Hlk43849111"/>
      <w:bookmarkEnd w:id="0"/>
    </w:p>
    <w:p w14:paraId="1FB1F5A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0E9CCC6D">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预决算公开的要求，部门预算及绩效目标在伊犁州政府网站公开公开，广泛接受社会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2、预算支出管理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州政协办公厅机关《财务制度》相关规定和伊犁州政协办公厅机关《财务制度》规定流程，资金支出按照我单位内控体系中设定的流程申报审批进行；项目支出属于政府采购的，按照伊犁州财政局《政府采购与招标管理办法》组织人员制定采购计划，按照财政局采购部门批复，进行公开招标、邀请招标等方式进行；属于非政府采购的项目，按照“三重一大”制度规定，重大项目支出上机关党组会研究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预算安排1177.69万元，实际到位1177.69万元,实际支出1177.32万元，占总支出的76.10％，其中：工资福利支出879.05万元、商品和服务支出157.80万元、对个人和家庭的补助140.17万元、主要用于保障办公场所日常水电暖等公务支出、保障人员工资、津贴补贴等支出。资本性支出0.30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2021年基本支出比上年1193.26万元,减少15.94万元，下降1.34%，支出下降的主要原因是人员变动所致。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2021年一般公共预算“三公”经费数为89.27万元，其中：因公出国（境）费0万元，公务用车购置0万元，公务用车运行费89.27万元，公务接待费0万元。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比上年减少55.82万元，其中：因公出国（境）费增加0万元，主要原因是本年未安排预算；公务用车购置费减少50.03万元，主要原因是本年度未购置公务车辆；公务用车运行费减少5.79万元，主要原因是进一步压缩“三公”经费开支；公务接待费增加0万元，主要原因是本年未安排预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2021年预算安排专项资金369.59万元，实际到位369.59万元, 到位率100％,其中:中央转移支付项目资金0万元，自治区资金20万元，本级安排349.59万元。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专项资金支出369.59万元，占总支出的23.89%，其中2021年专项项目支出比上年425.05万元减少55.46万元，下降13.05%。支出减少的主要原因是项目支出压缩。其中：政协全委会议项目安排150.05万元，主要用于完成2021年伊犁州政协两次全委会议和常委会议期间的食宿，场租、印刷等费用开支，保障了州政协全委会及常委会的顺利圆满召开；政协业务工作专项项目安排136万元，主要用于完成完成履行政治协商、民主监督、参政议政职能，保障伊犁州政协各项专项业务工作的正常开展；州政协离退休省部级领导交通费及安保人员保障项目安排36.96万元，主要用于完成伊犁州政协离退休副省级领导干部4人，保障离退休领导日常生活，交通出行便利，提高了生活质量；与保安公司签订劳务用工合同安排保安人员6名24小时机关值勤，保障了州政协办公大楼安保工作的平稳运行，使总目标的各项措施得到了落实；政协办公大楼供暖保障项目安排10.78万元，主要用于完成保障政协办公大楼的正常供暖；基层政协补助经费项目安排20万元，主要用于完成完成弥补了政协机关经费不足，保证了政协机关各项工作正常运转，加强了基层政协工作；印刷出版《庆百年华诞·政协委员风采录》（上下篇）和《庆百年华诞·政协委员视角摄影作品集》的项目安排15.80万元，主要用于完成印刷出版《庆百年华诞·政协委员风采录》与《庆百年华诞·政协委员视角摄影作品集》，展现伊犁州各级政协组织、广大政协委员和政协工作者在党的领导下，为推进伊犁州稳定发展改革各项事业凝心聚力、砥砺前行、接续奋斗的风采风貌。</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3、专项资金管理情况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为规范专项资金使用，提高专项资金使用效益，我单位主要采取三项措施。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一是制订专项资金管理制度；二是制订了项目实施方案；三是认真组织项目验收。切实确保专项资金都做到了专款专用。其中：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制定了《伊犁州政协办公厅项目资金使用办法》专项资金管理办法，各项资金使用审批流程均按规定办理。涉及“三重一大”内容，严格按照规定提请机关党组会审议决定，包括项目资金分配、重大项目确定、大额资金支付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（2）制订了政协全委会会议费项目、政协四次常务委员会议费项目、政协专项工作经费项目实施方案，确保项目按照计划实施，保障政协全委会常委会议顺利圆满召开及政协各项业务工作正常开展。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（3）认真组织政协全委会会议费项目、政协四次常务委员会议费项目、政协专项工作经费项目验收，确保项目资金专款专用。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专项资金涉及政府采购项目的，按照伊犁州财政局《政府采购与招标管理办法》组织人员制定采购计划，按照财政局采购部门批复，进行公开招标、邀请招标等方式进行。</w:t>
      </w:r>
    </w:p>
    <w:p w14:paraId="37DCA4A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745ED414">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下发的政协全委会会议费专项工作计划，对项目的工作分工、任务分配、资金落实、完成时限等提出了明确、具体的要求，以确保项目保质、保量、按时完成。详细如下：按照办公厅对专项资金的管理办法，政协全委会会议费项目预先制定计划，对会议期间产生的住宿、就餐、会议材料印刷和场租费等事项进行了测算，严格按照项目实施方案要求及一类会议标准按计划进行组织保障，做到专款专用，切实落实资金的各项规范制度，确保项目进度和质量，实现预算绩效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政协办公厅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截止12月31日，该专项均按照时间计划保质、保量完成。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涉及专项资金369.59万元，实际到位369.59万元，资金到位率100.00%。截止到2021年12月31日执行369.59万元，执行率100%。其中：2021年结转专项资金0.00万元，实际执行0.00万元，执行率为0.00%；2021年新增专项资金369.59万元，实际执行369.59万元，执行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我单位严格执行伊犁州政协办公厅《专项资金管理办法》要求，加强对专项资金的绩效管理，确保专款专用，提高专项资金使用效益。遵守相关法律法规，严肃财经纪律，自觉接受财政、审计、监察监督检查。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政协办公厅，根据2021年6个项目的绩效目标及工作内容，将其细化分工至本单位6个处室，加强组织领导，明确分工，各司其职，抓好工作目标任务的落实完成，同时年中要求各处室负责人按照年初预算对本处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伊犁州政协办公厅，实施的6个项目，由相关业务处室指派专人进行全过程跟踪管理，处室负责人统筹推进项目实施，分管领导不定期对项目进度进行调度，并对项目质量进行控制。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3、监管情况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6个项目相关负责处室从项目实施方案、项目预算、项目建设进度、项目成本、项目验收等环节，全过程对项目进行监管，并向本部门主要领导报告，以推进项目建设和提高项目质量，以发挥资金使用效益。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（四）绩效情况分析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1、成本控制情况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政协办公厅，所涉及专项项目均已于专项资金下达后按照资金文件及绩效管理要求设置《项目绩效目标表》。6个专项项目预算总额为369.59万元，在项目实施过程中，业务人员加强项目管理，合理控制项目成本，截止项目结束，6个项目总成本为369.59万元，不存在超支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2、成本节约情况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伊犁州政协办公厅，所涉及专项项目使用资金比专项项目总预算减少0万元，项目节约率为0%。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（五）项目效率性分析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1、实施进度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2021年伊犁州政协办公厅共涉及专项项目6个，截止到2021年底，通过专项项目实施过程中的有效监督，我单位按预期完成了6个专项的各项专项任务，项目总体完成率为100%。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2、完成质量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6个专项项目完成质量情况如下：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①政协全委会项目 完成2021年伊犁州政协两次全委会议和常委会议期间的食宿，场租、印刷等费用开支，保障了州政协全委会及常委会的顺利圆满召开；</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②政协业务工作专项项目 完成履行政治协商、民主监督、参政议政职能，保障伊犁州政协各项专项业务工作的正常开展；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③基层政协补助经费项目 完成弥补了政协机关经费不足，保证了政协机关各项工作正常运转，加强了基层政协工作；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④州政协离退休省部级领导交通费及安保人员保障项目 完成伊犁州政协离退休副省级领导干部4人，保障离退休领导日常生活，交通出行便利，提高了生活质量；与保安公司签订劳务用工合同安排保安人员6名24小时机关值勤，保障了州政协办公大楼安保工作的平稳运行，使总目标的各项措施得到了落实；</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⑤政协办公大楼供暖保障项目 完成保障政协大楼的正常供暖；</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⑥《委员风采录和摄影作品集》刊印项目 完成展现伊犁州各级政协组织、广大政协委员和政协工作者在党的领导下，为推进伊犁州稳定发展改革各项事业凝心聚力、砥砺前行、接续奋斗的风采风貌。</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（六）项目效益性分析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6个专项项目预期目标完成程度、实施对经济和社会的影响如下：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1、政协全委会项目 完成增强政协凝聚力，扩大政协影响力；</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2、政协业务工作专项项目 完成提案答复率100%，专委会的工作职能持续发挥；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3、基层政协补助经费项目 完成协助各级政协机关正常运转；</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4、州政协离退休省部级领导交通费及安保人员保障项目 完成发挥机关事务管理保障职能，改善受补助人员生活情况；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5、政协办公大楼供暖保障项目 完成保障政协大楼的正常供暖，提高工作质量；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6、《委员风采录和摄影作品集》刊印项目 完成进一步加大爱国主义宣传力度。</w:t>
      </w:r>
    </w:p>
    <w:p w14:paraId="12A3AD8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0A4F0C23">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（一）资产配置情况</w:t>
      </w:r>
      <w:r>
        <w:rPr>
          <w:rFonts w:hint="eastAsia" w:ascii="仿宋_GB2312" w:hAnsi="宋体" w:eastAsia="仿宋_GB2312"/>
          <w:b/>
          <w:sz w:val="32"/>
          <w:szCs w:val="32"/>
        </w:rPr>
        <w:br w:type="textWrapping"/>
      </w:r>
      <w:r>
        <w:rPr>
          <w:rFonts w:hint="eastAsia" w:ascii="仿宋_GB2312" w:hAnsi="宋体" w:eastAsia="仿宋_GB2312"/>
          <w:b/>
          <w:sz w:val="32"/>
          <w:szCs w:val="32"/>
        </w:rPr>
        <w:t>2021年我部门资产总额941.17万元，其中流动资产65.94万元（其中其他应收款65.94万元），固定资产净值860.28万元（其中：土地、房屋及构筑物634.73万元，占固定资产净值的73.78%；通用设备172.71万元，占固定资产净值的20.08%；专用设备1.51万元，占固定资产净值的0.18%；家具、用具、装具及动植物51.33万元，占固定资产净值的5.97%）。</w:t>
      </w:r>
      <w:r>
        <w:rPr>
          <w:rFonts w:hint="eastAsia" w:ascii="仿宋_GB2312" w:hAnsi="宋体" w:eastAsia="仿宋_GB2312"/>
          <w:b/>
          <w:sz w:val="32"/>
          <w:szCs w:val="32"/>
        </w:rPr>
        <w:br w:type="textWrapping"/>
      </w:r>
      <w:r>
        <w:rPr>
          <w:rFonts w:hint="eastAsia" w:ascii="仿宋_GB2312" w:hAnsi="宋体" w:eastAsia="仿宋_GB2312"/>
          <w:b/>
          <w:sz w:val="32"/>
          <w:szCs w:val="32"/>
        </w:rPr>
        <w:t>本年度流动资产65.94万元，比上年减少59.84万元，原因是：加大了其他应收款项的资金清理 。</w:t>
      </w:r>
      <w:r>
        <w:rPr>
          <w:rFonts w:hint="eastAsia" w:ascii="仿宋_GB2312" w:hAnsi="宋体" w:eastAsia="仿宋_GB2312"/>
          <w:b/>
          <w:sz w:val="32"/>
          <w:szCs w:val="32"/>
        </w:rPr>
        <w:br w:type="textWrapping"/>
      </w:r>
      <w:r>
        <w:rPr>
          <w:rFonts w:hint="eastAsia" w:ascii="仿宋_GB2312" w:hAnsi="宋体" w:eastAsia="仿宋_GB2312"/>
          <w:b/>
          <w:sz w:val="32"/>
          <w:szCs w:val="32"/>
        </w:rPr>
        <w:t>本年度固定资产2148.23万元，比上年增加4.55万元，原因是：因工作需要，购置办公设备。</w:t>
      </w:r>
      <w:r>
        <w:rPr>
          <w:rFonts w:hint="eastAsia" w:ascii="仿宋_GB2312" w:hAnsi="宋体" w:eastAsia="仿宋_GB2312"/>
          <w:b/>
          <w:sz w:val="32"/>
          <w:szCs w:val="32"/>
        </w:rPr>
        <w:br w:type="textWrapping"/>
      </w:r>
      <w:r>
        <w:rPr>
          <w:rFonts w:hint="eastAsia" w:ascii="仿宋_GB2312" w:hAnsi="宋体" w:eastAsia="仿宋_GB2312"/>
          <w:b/>
          <w:sz w:val="32"/>
          <w:szCs w:val="32"/>
        </w:rPr>
        <w:t>实际在用固定资产2148.23万元，固定资产利用率100%。</w:t>
      </w:r>
      <w:r>
        <w:rPr>
          <w:rFonts w:hint="eastAsia" w:ascii="仿宋_GB2312" w:hAnsi="宋体" w:eastAsia="仿宋_GB2312"/>
          <w:b/>
          <w:sz w:val="32"/>
          <w:szCs w:val="32"/>
        </w:rPr>
        <w:br w:type="textWrapping"/>
      </w:r>
      <w:r>
        <w:rPr>
          <w:rFonts w:hint="eastAsia" w:ascii="仿宋_GB2312" w:hAnsi="宋体" w:eastAsia="仿宋_GB2312"/>
          <w:b/>
          <w:sz w:val="32"/>
          <w:szCs w:val="32"/>
        </w:rPr>
        <w:t>（二）资产管理情况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r>
        <w:rPr>
          <w:rFonts w:hint="eastAsia" w:ascii="仿宋_GB2312" w:hAnsi="宋体" w:eastAsia="仿宋_GB2312"/>
          <w:b/>
          <w:sz w:val="32"/>
          <w:szCs w:val="32"/>
        </w:rPr>
        <w:br w:type="textWrapping"/>
      </w: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346EF8A1">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2021年度我单位年初预算安排1370.84万元，年中调整176.44万元，截止12月底支出1546.91万元，执行率99.98 %。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（二）效率性评价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2021年，伊犁州政协机关在州党委和州政协党组的正确领导下，坚持以习近平新时代中国特色社会主义思想为指导，完整准确贯彻落实新时代党的治疆方略，认真贯彻落实自治区党委决策部署，紧扣州党委中心工作，认真履行政治协商、民主监督、参政议政职责，为自治州社会稳定和长治久安作出了积极贡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圆满召开了2次自治州政协全体会议，以视频方式于2021年1月8日- 10日召开自治州政协十三届五次全体会议、5月15日-17日召开自治州政协十三届六次全体会议，会议期间，全体政协委员以胸怀全局的高站位，奋发有为的好状态，建肺腑之言，献务实之策。大会的胜利召开，为更好推进伊犁改革发展稳定凝聚了智慧和力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召开2021年自治州政协工作会议。2021年3月23日，在巩留县召开2021年自治州政协工作会议，会期一天，会议回顾总结2020年工作，安排部署2021年工作，要求全州各级政协组织广大政协委员凝心聚力，担当作为，为助力伊犁改革发展稳定发挥政协作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深入开展协商议政活动。（1）召开2次专题议政常委会议，5月11日-12日，在塔城地区沙湾市召开伊犁州政协十三届十八次常委会议，会议以“铸牢中华民族共同体意识为主线，推进文化润疆工程”为主题进行专题议政，作出《坚定不移聚焦总目标扎实推进文化润疆工程的决议》，引领各族各界牢固树立休戚与共、荣辱与共、生死与共、命运与共的共同体理念。会期一天半。7月15日-16日，在阿勒泰地区吉木乃县召开自治州政协十三届二十次常委会议，会议以“巩固拓展脱贫攻坚成果同乡村振兴有效衔接”为主题进行专题议政，提出的意见建议得到州党委、政府高度重视并积极采纳。会期一天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召开2次季度协商会议，2021年5月8日在州政协以视频方式召开“关于发挥伊犁州作为丝绸之路经济带核心区重要支点作用”季度协商会议，为推进伊犁州在更大范围、更宽领域、更高层次上扩大开放建言献策，会期半天。2021年9月3日在州政协以视频方式召开关于“完善社区管理体制机制，提升社区治理能力”的季度协商会议，为推动自治州基层治理体系和治理能力现代化建设积极建言献策，会期半天。</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4.2021年6月11日-15日，以援疆资金方式举行2021年自治州政协委员履职能力提升培训班，着力提高政协委员的履职能力，切实增强服务发展的责任感和使命感。</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5.发挥提案在助力发展中的积极作用，十三届五次会议立案的284件提案全部办结，立案率为92.2%，办复率为100%，主席、副主席领衔督办的9件重点提案得到落实，为自治州经济高质量发展贡献政协力量。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州政协坚持不懈用习近平新时代中国特色社会主义思想武装头脑、指导实践、推动工作，深刻感悟“两个确立”决定性意义，增强“四个意识”、坚定“四个自信”、做到“两个维护”，始终在政治立场、政治方向、政治原则、政治道路上同以习近平同志为核心的党中央保持高度一致。围绕自治区、自治州党委工作部署，深入建言资政，提出有价值、有分量、有见解的意见建议，助推党委、政府重大决策部署落地生根。坚持做好常态化疫情防控工作，坚持外方输入、内防反弹，助力推进各项防控措施落实落细落到位。完整准确贯彻新时代党的治疆方略，牢牢扭住新疆工作总目标，在落实反恐维稳“组合拳”中彰显担当作为，扎实做好“民族团结一家亲”和民族团结联谊、“访惠聚”驻村等工作，坚持新疆伊斯兰教中国化方向，引领各族群众在广泛交往、全面交流、深度交融中铸牢中华民族共同体意识。围绕“两霍两伊”一体化发展战略和一产做优上水平，二产做强上规模、三产做精上层次、</w:t>
      </w:r>
      <w:r>
        <w:rPr>
          <w:rFonts w:hint="eastAsia" w:ascii="仿宋_GB2312" w:hAnsi="宋体" w:eastAsia="仿宋_GB2312"/>
          <w:b/>
          <w:sz w:val="32"/>
          <w:szCs w:val="32"/>
          <w:lang w:eastAsia="zh-CN"/>
        </w:rPr>
        <w:t>推进一二三产业融合发展</w:t>
      </w:r>
      <w:r>
        <w:rPr>
          <w:rFonts w:hint="eastAsia" w:ascii="仿宋_GB2312" w:hAnsi="宋体" w:eastAsia="仿宋_GB2312"/>
          <w:b/>
          <w:sz w:val="32"/>
          <w:szCs w:val="32"/>
        </w:rPr>
        <w:t>的产业规划，深入协商、务实监督，助推实体经济、口岸经济、旅游经济发展；抓住群众普遍关心的稳定、就业、教育、医疗、安全等问题建言献策，助力民生改善，促进经济高质量发展，不断增强各族群众的获得感、幸福感、安全感。</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（三）有效性评价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部门支出的有效性主要体现在我单位各项工作成效上，一是政治协商的力度进一步加大，二是参政议政水平进一步提高，三是民主监督的能力进一步提升，四是发挥政协职能作用得到社会各界的广泛认可，五是助力州党委决策部署得到深入贯彻落实，详细情况如下：伊犁州政协办公厅单位整体绩效目标共设置一级指标3个，二级指标7个，三级指标25个，详细说明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指标1：会议举办场次，指标值：&gt;5次，实际完成值：6次，指标完成率120%；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指标2：办公用房供暖面积，指标值：=6800平方米，实际完成值：5825.18平方米，指标完成率85.66%；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指标3：保障在职人员人数，指标值：=54人，实际完成值：52人，指标完成率96.30%；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指标4：公用保障用车数量，指标值：&gt;=23辆，实际完成值：23辆，指标完成率100%；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指标5：保障保安人数，指标值：=6人，实际完成值：6人，指标完成率100%；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指标6：完成专题调研、视察次数，指标值：&gt;=5次，实际完成值：5次，指标完成率100%；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指标1：调研覆盖率，指标值：&gt;=95%，实际完成值：100%，指标完成率105.26%；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指标2：补助对象资格符合率，指标值：=100%，实际完成值：100%，指标完成率100%；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指标3：供暖覆盖率，指标值：指标值：=100%，实际完成值：100%，指标完成率100%；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指标4：完成会议各项议程率，指标值：=100%，实际完成值：100%，指标完成率100%；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指标5：工资及公用经费保障率，指标值：=100%，实际完成值：100%，指标完成率100%；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3、时效指标：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指标1：会议按期完成率，指标值：&gt;=95%，实际完成值：100%，指标完成率105.26%；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指标2：办公楼供暖公用经费支付及时性，指标值：=100%，实际完成值：100%，指标完成率100%；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指标3：保安工资发放及时性，指标值：指标值：=100%，实际完成值：100%，指标完成率100%；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指标4：资金发放及时性，指标值：指标值：=100%，实际完成值：100%，指标完成率100%；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指标5：政协业务公用经费支付及时性，指标值：指标值：=100%，实际完成值：100%，指标完成率100%；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4、成本指标：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指标1：每次发放临聘保安人员工资费用，指标值：=2.28万元，实际完成值：2.28万元，指标完成率100%；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指标2：人均运转经费数，指标值：&lt;=3.06万元，实际完成值：3.04万元，指标完成率99.35%；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指标3：车辆保障费用，指标值：&lt;=50万元，实际完成值：50万元，指标完成率100%；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指标4：人均支出标准，指标值：&lt;=16.22万元，实际完成值：16.38万元，指标完成率0%；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5、社会效益指标：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指标1：改善受补助人员生活情况，指标值：有效改善，实际完成值：有效改善，指标完成率100%；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指标2：增强政协凝聚力扩大政协影响力，指标值：有效增强，实际完成值：有效增强，指标完成率100%；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6、可持续影响指标：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指标1：发挥专委会的工作职能，指标值：持续发挥，实际完成值：持续发挥，指标完成率100%；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7、满意度指标：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指标1：干部职工满意度，指标值：&gt;=95%，实际完成值：95%，指标完成率100%；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指标2：政协委员满意度，指标值：&gt;=95%，实际完成值：95%，指标完成率100%；</w:t>
      </w:r>
    </w:p>
    <w:p w14:paraId="4D3E30DF">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5912FC22">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1、预算编制工作有待细化。预算编制不够明确和细化，预算编制的合理性需要提高，预算执行力度还要进一步加大。</w:t>
      </w:r>
      <w:r>
        <w:rPr>
          <w:rFonts w:hint="eastAsia" w:ascii="仿宋_GB2312" w:hAnsi="宋体" w:eastAsia="仿宋_GB2312"/>
          <w:b/>
          <w:sz w:val="32"/>
          <w:szCs w:val="32"/>
        </w:rPr>
        <w:br w:type="textWrapping"/>
      </w:r>
      <w:r>
        <w:rPr>
          <w:rFonts w:hint="eastAsia" w:ascii="仿宋_GB2312" w:hAnsi="宋体" w:eastAsia="仿宋_GB2312"/>
          <w:b/>
          <w:sz w:val="32"/>
          <w:szCs w:val="32"/>
        </w:rPr>
        <w:t>2、转变思想观念不够，预算绩效管理意识淡薄。</w:t>
      </w:r>
    </w:p>
    <w:p w14:paraId="65E5B227">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490E58CB">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（一）改进措施</w:t>
      </w:r>
      <w:r>
        <w:rPr>
          <w:rFonts w:hint="eastAsia" w:ascii="仿宋_GB2312" w:hAnsi="宋体" w:eastAsia="仿宋_GB2312"/>
          <w:b/>
          <w:sz w:val="32"/>
          <w:szCs w:val="32"/>
        </w:rPr>
        <w:br w:type="textWrapping"/>
      </w:r>
      <w:r>
        <w:rPr>
          <w:rFonts w:hint="eastAsia" w:ascii="仿宋_GB2312" w:hAnsi="宋体" w:eastAsia="仿宋_GB2312"/>
          <w:b/>
          <w:sz w:val="32"/>
          <w:szCs w:val="32"/>
        </w:rPr>
        <w:t>1.学习如何科学合理制定绩效目标及考核体系，充分发挥绩效工作效用。</w:t>
      </w:r>
      <w:r>
        <w:rPr>
          <w:rFonts w:hint="eastAsia" w:ascii="仿宋_GB2312" w:hAnsi="宋体" w:eastAsia="仿宋_GB2312"/>
          <w:b/>
          <w:sz w:val="32"/>
          <w:szCs w:val="32"/>
        </w:rPr>
        <w:br w:type="textWrapping"/>
      </w:r>
      <w:r>
        <w:rPr>
          <w:rFonts w:hint="eastAsia" w:ascii="仿宋_GB2312" w:hAnsi="宋体" w:eastAsia="仿宋_GB2312"/>
          <w:b/>
          <w:sz w:val="32"/>
          <w:szCs w:val="32"/>
        </w:rPr>
        <w:t>2.对于能细分、归总的业务工作，效仿专项支出进行管理，以便更好的进行绩效评价，发现不足，提出改进。</w:t>
      </w:r>
      <w:r>
        <w:rPr>
          <w:rFonts w:hint="eastAsia" w:ascii="仿宋_GB2312" w:hAnsi="宋体" w:eastAsia="仿宋_GB2312"/>
          <w:b/>
          <w:sz w:val="32"/>
          <w:szCs w:val="32"/>
        </w:rPr>
        <w:br w:type="textWrapping"/>
      </w:r>
      <w:r>
        <w:rPr>
          <w:rFonts w:hint="eastAsia" w:ascii="仿宋_GB2312" w:hAnsi="宋体" w:eastAsia="仿宋_GB2312"/>
          <w:b/>
          <w:sz w:val="32"/>
          <w:szCs w:val="32"/>
        </w:rPr>
        <w:t>3.加强对绩效监控工作的认识，做到精细化管理，进一步着重研究绩效监控工作，避免因预算不足造成的问题。</w:t>
      </w:r>
      <w:r>
        <w:rPr>
          <w:rFonts w:hint="eastAsia" w:ascii="仿宋_GB2312" w:hAnsi="宋体" w:eastAsia="仿宋_GB2312"/>
          <w:b/>
          <w:sz w:val="32"/>
          <w:szCs w:val="32"/>
        </w:rPr>
        <w:br w:type="textWrapping"/>
      </w:r>
      <w:r>
        <w:rPr>
          <w:rFonts w:hint="eastAsia" w:ascii="仿宋_GB2312" w:hAnsi="宋体" w:eastAsia="仿宋_GB2312"/>
          <w:b/>
          <w:sz w:val="32"/>
          <w:szCs w:val="32"/>
        </w:rPr>
        <w:t>（二）建议</w:t>
      </w:r>
      <w:r>
        <w:rPr>
          <w:rFonts w:hint="eastAsia" w:ascii="仿宋_GB2312" w:hAnsi="宋体" w:eastAsia="仿宋_GB2312"/>
          <w:b/>
          <w:sz w:val="32"/>
          <w:szCs w:val="32"/>
        </w:rPr>
        <w:br w:type="textWrapping"/>
      </w:r>
      <w:r>
        <w:rPr>
          <w:rFonts w:hint="eastAsia" w:ascii="仿宋_GB2312" w:hAnsi="宋体" w:eastAsia="仿宋_GB2312"/>
          <w:b/>
          <w:sz w:val="32"/>
          <w:szCs w:val="32"/>
        </w:rPr>
        <w:t>1.根据单位业务特点确定切实可行、操作性较强的考核指标，建立考核指标的标准模板。</w:t>
      </w:r>
      <w:r>
        <w:rPr>
          <w:rFonts w:hint="eastAsia" w:ascii="仿宋_GB2312" w:hAnsi="宋体" w:eastAsia="仿宋_GB2312"/>
          <w:b/>
          <w:sz w:val="32"/>
          <w:szCs w:val="32"/>
        </w:rPr>
        <w:br w:type="textWrapping"/>
      </w:r>
      <w:r>
        <w:rPr>
          <w:rFonts w:hint="eastAsia" w:ascii="仿宋_GB2312" w:hAnsi="宋体" w:eastAsia="仿宋_GB2312"/>
          <w:b/>
          <w:sz w:val="32"/>
          <w:szCs w:val="32"/>
        </w:rPr>
        <w:t>2.根据整体绩效制定出科学合理的资金使用计划，不断提高资金使用效率。</w:t>
      </w:r>
    </w:p>
    <w:p w14:paraId="37F0658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550E91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369E5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10413</Words>
  <Characters>11233</Characters>
  <Lines>2</Lines>
  <Paragraphs>1</Paragraphs>
  <TotalTime>16</TotalTime>
  <ScaleCrop>false</ScaleCrop>
  <LinksUpToDate>false</LinksUpToDate>
  <CharactersWithSpaces>11281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2025-05-27T11:26:14Z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eyJoZGlkIjoiZTJlNDBmZDg4NzQzM2UxZWE4MWMzYTNmYjU4NjJhMzkiLCJ1c2VySWQiOiIzODc1NDM2MTYifQ==</vt:lpwstr>
  </property>
  <property fmtid="{D5CDD505-2E9C-101B-9397-08002B2CF9AE}" pid="3" name="KSOProductBuildVer">
    <vt:lpwstr>2052-12.1.0.21171</vt:lpwstr>
  </property>
  <property fmtid="{D5CDD505-2E9C-101B-9397-08002B2CF9AE}" pid="4" name="ICV">
    <vt:lpwstr>BB79FAF63408491B817B0A3071C2A009_12</vt:lpwstr>
  </property>
</Properties>
</file>