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75B3F9" w14:textId="77777777" w:rsidR="00340E58" w:rsidRDefault="00340E58" w:rsidP="00340E58">
      <w:pPr>
        <w:widowControl/>
        <w:jc w:val="left"/>
        <w:rPr>
          <w:rFonts w:ascii="黑体" w:eastAsia="黑体" w:hAnsi="黑体" w:cs="宋体"/>
          <w:color w:val="333333"/>
          <w:sz w:val="32"/>
          <w:szCs w:val="32"/>
          <w:lang w:bidi="ar"/>
        </w:rPr>
      </w:pPr>
      <w:r>
        <w:rPr>
          <w:rFonts w:ascii="黑体" w:eastAsia="黑体" w:hAnsi="黑体" w:cs="宋体" w:hint="eastAsia"/>
          <w:color w:val="333333"/>
          <w:sz w:val="32"/>
          <w:szCs w:val="32"/>
          <w:lang w:bidi="ar"/>
        </w:rPr>
        <w:t>附件4：</w:t>
      </w:r>
    </w:p>
    <w:p w14:paraId="2B863724"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56FE3831"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71BEA104"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393401E7"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1B39C0AE"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11A18AD0"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7D56F87E" w14:textId="77777777" w:rsidR="00340E58" w:rsidRDefault="00340E58" w:rsidP="00340E58">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自治区本级部门单位整体支出绩效</w:t>
      </w:r>
    </w:p>
    <w:p w14:paraId="0C87FD0D" w14:textId="77777777" w:rsidR="00340E58" w:rsidRDefault="00340E58" w:rsidP="00340E58">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自评报告</w:t>
      </w:r>
    </w:p>
    <w:p w14:paraId="58039830" w14:textId="77777777" w:rsidR="00340E58" w:rsidRDefault="00340E58" w:rsidP="00340E58">
      <w:pPr>
        <w:spacing w:line="540" w:lineRule="exact"/>
        <w:jc w:val="center"/>
        <w:rPr>
          <w:rFonts w:ascii="华文中宋" w:eastAsia="华文中宋" w:hAnsi="华文中宋" w:cs="宋体"/>
          <w:b/>
          <w:kern w:val="0"/>
          <w:sz w:val="52"/>
          <w:szCs w:val="52"/>
        </w:rPr>
      </w:pPr>
    </w:p>
    <w:p w14:paraId="1CF259AF" w14:textId="1D2CF3A4" w:rsidR="00340E58" w:rsidRDefault="00340E58" w:rsidP="00340E58">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sidR="00584481" w:rsidRPr="00E8616A">
        <w:rPr>
          <w:rFonts w:ascii="仿宋_GB2312" w:eastAsia="仿宋_GB2312" w:hAnsi="宋体" w:hint="eastAsia"/>
          <w:b/>
          <w:sz w:val="32"/>
          <w:szCs w:val="32"/>
        </w:rPr>
        <w:t>2021</w:t>
      </w:r>
      <w:proofErr w:type="spellStart"/>
      <w:proofErr w:type="spellEnd"/>
      <w:r>
        <w:rPr>
          <w:rFonts w:eastAsia="仿宋_GB2312" w:hAnsi="宋体" w:cs="宋体" w:hint="eastAsia"/>
          <w:kern w:val="0"/>
          <w:sz w:val="36"/>
          <w:szCs w:val="36"/>
        </w:rPr>
        <w:t>年度）</w:t>
      </w:r>
    </w:p>
    <w:p w14:paraId="186745CD" w14:textId="77777777" w:rsidR="00340E58" w:rsidRDefault="00340E58" w:rsidP="00340E58">
      <w:pPr>
        <w:spacing w:line="540" w:lineRule="exact"/>
        <w:jc w:val="center"/>
        <w:rPr>
          <w:rFonts w:eastAsia="仿宋_GB2312" w:hAnsi="宋体" w:cs="宋体"/>
          <w:kern w:val="0"/>
          <w:sz w:val="30"/>
          <w:szCs w:val="30"/>
        </w:rPr>
      </w:pPr>
    </w:p>
    <w:p w14:paraId="4CED77EE" w14:textId="77777777" w:rsidR="00340E58" w:rsidRPr="00653C1A" w:rsidRDefault="00340E58" w:rsidP="00340E58">
      <w:pPr>
        <w:spacing w:line="540" w:lineRule="exact"/>
        <w:jc w:val="center"/>
        <w:rPr>
          <w:rFonts w:eastAsia="仿宋_GB2312" w:hAnsi="宋体" w:cs="宋体"/>
          <w:kern w:val="0"/>
          <w:sz w:val="30"/>
          <w:szCs w:val="30"/>
        </w:rPr>
      </w:pPr>
    </w:p>
    <w:p w14:paraId="4D1EB09D" w14:textId="77777777" w:rsidR="00340E58" w:rsidRDefault="00340E58" w:rsidP="00340E58">
      <w:pPr>
        <w:spacing w:line="540" w:lineRule="exact"/>
        <w:jc w:val="center"/>
        <w:rPr>
          <w:rFonts w:ascii="方正小标宋_GBK" w:eastAsia="方正小标宋_GBK" w:hAnsi="宋体" w:cs="宋体"/>
          <w:kern w:val="0"/>
          <w:sz w:val="36"/>
          <w:szCs w:val="36"/>
        </w:rPr>
      </w:pPr>
      <w:r>
        <w:rPr>
          <w:rFonts w:ascii="方正小标宋_GBK" w:eastAsia="方正小标宋_GBK" w:hAnsi="宋体" w:cs="宋体" w:hint="eastAsia"/>
          <w:kern w:val="0"/>
          <w:sz w:val="36"/>
          <w:szCs w:val="36"/>
        </w:rPr>
        <w:t>参考模板</w:t>
      </w:r>
    </w:p>
    <w:p w14:paraId="2D6A57FE" w14:textId="77777777" w:rsidR="00340E58" w:rsidRDefault="00340E58" w:rsidP="00340E58">
      <w:pPr>
        <w:spacing w:line="540" w:lineRule="exact"/>
        <w:jc w:val="center"/>
        <w:rPr>
          <w:rFonts w:eastAsia="仿宋_GB2312" w:hAnsi="宋体" w:cs="宋体"/>
          <w:kern w:val="0"/>
          <w:sz w:val="30"/>
          <w:szCs w:val="30"/>
        </w:rPr>
      </w:pPr>
    </w:p>
    <w:p w14:paraId="63BE86C2" w14:textId="77777777" w:rsidR="00340E58" w:rsidRDefault="00340E58" w:rsidP="00340E58">
      <w:pPr>
        <w:spacing w:line="540" w:lineRule="exact"/>
        <w:jc w:val="center"/>
        <w:rPr>
          <w:rFonts w:eastAsia="仿宋_GB2312" w:hAnsi="宋体" w:cs="宋体"/>
          <w:kern w:val="0"/>
          <w:sz w:val="30"/>
          <w:szCs w:val="30"/>
        </w:rPr>
      </w:pPr>
    </w:p>
    <w:p w14:paraId="1F44B85D" w14:textId="77777777" w:rsidR="00340E58" w:rsidRDefault="00340E58" w:rsidP="00340E58">
      <w:pPr>
        <w:spacing w:line="540" w:lineRule="exact"/>
        <w:jc w:val="center"/>
        <w:rPr>
          <w:rFonts w:eastAsia="仿宋_GB2312" w:hAnsi="宋体" w:cs="宋体"/>
          <w:kern w:val="0"/>
          <w:sz w:val="30"/>
          <w:szCs w:val="30"/>
        </w:rPr>
      </w:pPr>
    </w:p>
    <w:p w14:paraId="2A61933D" w14:textId="77777777" w:rsidR="00340E58" w:rsidRDefault="00340E58" w:rsidP="00340E58">
      <w:pPr>
        <w:spacing w:line="540" w:lineRule="exact"/>
        <w:rPr>
          <w:rFonts w:eastAsia="仿宋_GB2312" w:hAnsi="宋体" w:cs="宋体"/>
          <w:kern w:val="0"/>
          <w:sz w:val="30"/>
          <w:szCs w:val="30"/>
        </w:rPr>
      </w:pPr>
    </w:p>
    <w:p w14:paraId="7C5A61A0" w14:textId="77777777" w:rsidR="00340E58" w:rsidRDefault="00340E58" w:rsidP="00340E58">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3260287E" w14:textId="77777777" w:rsidR="00340E58" w:rsidRDefault="00340E58" w:rsidP="00340E58">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部门单位名称（公章）：</w:t>
      </w:r>
    </w:p>
    <w:p w14:paraId="2DFE3CDF" w14:textId="77777777" w:rsidR="00340E58" w:rsidRDefault="00340E58" w:rsidP="00340E58">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填报时间：</w:t>
      </w:r>
      <w:r>
        <w:rPr>
          <w:rFonts w:eastAsia="仿宋_GB2312" w:hAnsi="宋体" w:cs="宋体" w:hint="eastAsia"/>
          <w:kern w:val="0"/>
          <w:sz w:val="36"/>
          <w:szCs w:val="36"/>
        </w:rPr>
        <w:t xml:space="preserve">     </w:t>
      </w:r>
      <w:r>
        <w:rPr>
          <w:rFonts w:eastAsia="仿宋_GB2312" w:hAnsi="宋体" w:cs="宋体" w:hint="eastAsia"/>
          <w:kern w:val="0"/>
          <w:sz w:val="36"/>
          <w:szCs w:val="36"/>
        </w:rPr>
        <w:t>年</w:t>
      </w:r>
      <w:r>
        <w:rPr>
          <w:rFonts w:eastAsia="仿宋_GB2312" w:hAnsi="宋体" w:cs="宋体" w:hint="eastAsia"/>
          <w:kern w:val="0"/>
          <w:sz w:val="36"/>
          <w:szCs w:val="36"/>
        </w:rPr>
        <w:t xml:space="preserve">     </w:t>
      </w:r>
      <w:r>
        <w:rPr>
          <w:rFonts w:eastAsia="仿宋_GB2312" w:hAnsi="宋体" w:cs="宋体" w:hint="eastAsia"/>
          <w:kern w:val="0"/>
          <w:sz w:val="36"/>
          <w:szCs w:val="36"/>
        </w:rPr>
        <w:t>月</w:t>
      </w:r>
      <w:r>
        <w:rPr>
          <w:rFonts w:eastAsia="仿宋_GB2312" w:hAnsi="宋体" w:cs="宋体" w:hint="eastAsia"/>
          <w:kern w:val="0"/>
          <w:sz w:val="36"/>
          <w:szCs w:val="36"/>
        </w:rPr>
        <w:t xml:space="preserve">     </w:t>
      </w:r>
      <w:r>
        <w:rPr>
          <w:rFonts w:eastAsia="仿宋_GB2312" w:hAnsi="宋体" w:cs="宋体" w:hint="eastAsia"/>
          <w:kern w:val="0"/>
          <w:sz w:val="36"/>
          <w:szCs w:val="36"/>
        </w:rPr>
        <w:t>日</w:t>
      </w:r>
    </w:p>
    <w:p w14:paraId="0D71FB5A" w14:textId="4CFF04A3" w:rsidR="00340E58" w:rsidRDefault="00340E58" w:rsidP="00340E58">
      <w:pPr>
        <w:spacing w:line="700" w:lineRule="exact"/>
        <w:jc w:val="left"/>
        <w:rPr>
          <w:rFonts w:eastAsia="仿宋_GB2312" w:hAnsi="宋体" w:cs="宋体"/>
          <w:kern w:val="0"/>
          <w:sz w:val="36"/>
          <w:szCs w:val="36"/>
        </w:rPr>
      </w:pPr>
    </w:p>
    <w:p w14:paraId="6E61B129" w14:textId="34D66AD4" w:rsidR="001C7F2C" w:rsidRDefault="001C7F2C" w:rsidP="00340E58">
      <w:pPr>
        <w:spacing w:line="700" w:lineRule="exact"/>
        <w:jc w:val="left"/>
        <w:rPr>
          <w:rFonts w:eastAsia="仿宋_GB2312" w:hAnsi="宋体" w:cs="宋体"/>
          <w:kern w:val="0"/>
          <w:sz w:val="36"/>
          <w:szCs w:val="36"/>
        </w:rPr>
      </w:pPr>
    </w:p>
    <w:p w14:paraId="20CD2773" w14:textId="77777777" w:rsidR="001C7F2C" w:rsidRDefault="001C7F2C" w:rsidP="00340E58">
      <w:pPr>
        <w:spacing w:line="700" w:lineRule="exact"/>
        <w:jc w:val="left"/>
        <w:rPr>
          <w:rFonts w:eastAsia="仿宋_GB2312" w:hAnsi="宋体" w:cs="宋体"/>
          <w:kern w:val="0"/>
          <w:sz w:val="36"/>
          <w:szCs w:val="36"/>
        </w:rPr>
      </w:pPr>
    </w:p>
    <w:p w14:paraId="68C451FB" w14:textId="03C88F19"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基本概况</w:t>
      </w:r>
    </w:p>
    <w:p w14:paraId="40265AFE" w14:textId="0AADA328" w:rsidR="00E8616A" w:rsidRPr="007E47F4" w:rsidRDefault="00E8616A" w:rsidP="007E47F4">
      <w:pPr>
        <w:spacing w:line="600" w:lineRule="exact"/>
        <w:ind w:left="648" w:firstLineChars="200" w:firstLine="643"/>
        <w:jc w:val="left"/>
        <w:rPr>
          <w:rFonts w:ascii="仿宋_GB2312" w:eastAsia="仿宋_GB2312" w:hAnsi="宋体" w:hint="eastAsia"/>
          <w:b/>
          <w:sz w:val="32"/>
          <w:szCs w:val="32"/>
        </w:rPr>
      </w:pPr>
      <w:r w:rsidRPr="00E8616A">
        <w:rPr>
          <w:rFonts w:ascii="仿宋_GB2312" w:eastAsia="仿宋_GB2312" w:hAnsi="宋体" w:hint="eastAsia"/>
          <w:b/>
          <w:sz w:val="32"/>
          <w:szCs w:val="32"/>
        </w:rPr>
        <w:t>（一）部门单位基本情况</w:t>
        <w:br/>
        <w:t>1、主要职能</w:t>
        <w:br/>
        <w:t>根据国家、自治区有关建设工程安全监督的法律法规和政策，负责州直建设工程安全监督管理等相关工作。</w:t>
        <w:br/>
        <w:t>2、机构人员构成</w:t>
        <w:br/>
        <w:t>（1）组织机构设置：</w:t>
        <w:br/>
        <w:t>伊犁州建设工程安全监督中心站部门（单位）无下属预算单位，下设3个科室，分别是：站长室、业务室、财务室。</w:t>
        <w:br/>
        <w:t>（2）2021年伊犁州建设工程安全监督中心站实有在职人员为3人，其中：</w:t>
        <w:br/>
        <w:t>事业在职3人（上年5人），同比上年减少2人；</w:t>
        <w:br/>
        <w:t>实有离休人员0人（上年0人）,同比上年增加0人。</w:t>
        <w:br/>
        <w:t>实有退休人员1人（上年0人）,同比上年增加1人。</w:t>
        <w:br/>
        <w:t>3、重点工作计划</w:t>
        <w:br/>
        <w:t>深入推进建筑施工安全生产标准化工作,强化建筑施工企业和建设工程项目安全管理,确保人员工资经费、社保经费支出,日常公用经费支出计划投入53.32万元，明确安全生产目标责任，提升建筑施工安全生产水平。</w:t>
        <w:br/>
        <w:t></w:t>
        <w:br/>
        <w:t>（二）部门单位整体支出规模、使用方法和主要内容、涉及对象及范围等</w:t>
        <w:br/>
        <w:t>1、部门单位整体支出规模</w:t>
        <w:br/>
        <w:t>2021年我部门（单位）全年预算数为68.13万元，其中：年初批复的财政拨款为59.10万元，年中追加资金9.03万元，调整率15.28%。对比上年65.57万元增加2.56万元，增长3.90%。</w:t>
        <w:br/>
        <w:t>2021年实际决算支出56.27万元，执行率82.59%，其中：</w:t>
        <w:br/>
        <w:t>（1）基本支出56.27万元，占总支出的100.00％，主要用于本单位机构正常运转、完成日常工作任务而发生的各项支出。基本支出包含工资福利支出、商品和服务支出、对个人和家庭的补助支出等，其中：工资福利支出52.82万元，主要用于在职和离退休人员基本工资、津贴补贴等人员经费。商品和服务支出3.45万元，主要用于办公费、印刷费、水电费、办公设备购置等。</w:t>
        <w:br/>
        <w:t>（2）项目支出0.00万元，占总支出的0.00％。</w:t>
        <w:br/>
        <w:t>（3）本年度重点项目支出0.00万元，重点支出保障率0.00%。</w:t>
        <w:br/>
        <w:t>（4）本年度我单位全年政府采购预算0.00万元,实际用于政府采购金额0.00万元，采购执行率0.00%</w:t>
        <w:br/>
        <w:t>2、整体支出评价使用方法和主要内容、涉及对象及范围等</w:t>
        <w:br/>
        <w:t>（1）整体支出评价使用方法</w:t>
        <w:br/>
        <w:t>本次我站整体支出绩效自评采用比较法方法，原因是：结合以往的工作经验及绩效评价的目标要求能较好的掌握资金的使用效益,通过绩效目标与具体实施情况比较能够更清晰的明确比较差异。</w:t>
        <w:br/>
        <w:t>（2）整体支出评价主要内容</w:t>
        <w:br/>
        <w:t>①绩效目标的设定情况。重点评价绩效目标设立的充分性、明确性、合理性以及细化程度。</w:t>
        <w:br/>
        <w:t>②资金投入和使用情况。重点评价资金分配过程、投入方式、资金到位、预算执行和结果。</w:t>
        <w:br/>
        <w:t>③为实现绩效目标制定的制度、采取的措施等。包括项目管理制度、财务管理制度、资产管理制度和绩效跟踪管理措施等。</w:t>
        <w:br/>
        <w:t>④绩效目标的实现程度和效果。绩效目标的实现程度包括产出数量、产出质量、产出时效和产出成本。效果包括经济效益、社会效益、生态效益、可持续影响以及服务对象满意度等。</w:t>
        <w:br/>
        <w:t>（3）整体支出评价涉及对象及范围</w:t>
        <w:br/>
        <w:t>涉及对象：本次评价对象是伊犁州建设工程安全监督中心站所有财政资金支出活动。</w:t>
        <w:br/>
        <w:t>整体支出评价范围：</w:t>
        <w:br/>
        <w:t>①基本支出68.13万元，其中：工资福利支出、商品和服务支出。</w:t>
        <w:br/>
        <w:t>②项目支出0.00万元。</w:t>
      </w:r>
      <w:bookmarkStart w:id="0" w:name="_Hlk43849111"/>
      <w:bookmarkEnd w:id="0"/>
    </w:p>
    <w:p w14:paraId="1FB1F5AB" w14:textId="06EB5EB4"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部门单位整体支出管理及使用情况</w:t>
      </w:r>
    </w:p>
    <w:p w14:paraId="0E9CCC6D" w14:textId="3BB090B7" w:rsidR="00E8616A" w:rsidRPr="00E8616A" w:rsidRDefault="00E8616A" w:rsidP="00E8616A">
      <w:pPr>
        <w:spacing w:line="600" w:lineRule="exact"/>
        <w:ind w:firstLineChars="250" w:firstLine="80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黑体" w:eastAsia="黑体" w:hAnsi="黑体" w:cs="宋体"/>
          <w:bCs/>
          <w:color w:val="333333"/>
          <w:sz w:val="32"/>
          <w:szCs w:val="32"/>
          <w:lang w:bidi="ar"/>
        </w:rPr>
        <w:t xml:space="preserve"> </w:t>
      </w:r>
      <w:r w:rsidR="00DC7E33">
        <w:rPr>
          <w:rFonts w:ascii="黑体" w:eastAsia="黑体" w:hAnsi="黑体" w:cs="宋体"/>
          <w:bCs/>
          <w:color w:val="333333"/>
          <w:sz w:val="32"/>
          <w:szCs w:val="32"/>
          <w:lang w:bidi="ar"/>
        </w:rPr>
        <w:t xml:space="preserve"> </w:t>
      </w:r>
      <w:r>
        <w:rPr>
          <w:rFonts w:ascii="仿宋_GB2312" w:eastAsia="仿宋_GB2312" w:hAnsi="宋体" w:hint="eastAsia"/>
          <w:b/>
          <w:sz w:val="32"/>
          <w:szCs w:val="32"/>
        </w:rPr>
        <w:t>（一）预算管理</w:t>
        <w:br/>
        <w:t>1、预算编制管理</w:t>
        <w:br/>
        <w:t>我单位严格按照财政部门预算编制与预算调整的工作要求，在预算编制、分配依据充分的条件下，切实做好“先定目标再编预算”，确保预算分配结果合理。同时按照财政部门要求，部门预算及绩效目标在塞外江南网公开，广泛接受社会监督</w:t>
        <w:br/>
        <w:t>2、预算支出管理</w:t>
        <w:br/>
        <w:t>我部门（单位）按照财政要求基本支出分月度申报资金使用计划，由财政部门按照进度每月按期拨付，人员支出按照工资计划发放工资；依照伊犁州建设工程安全监督中心站部门（单位）《伊犁州建设工程安全监督中心站财务管理制度》相关规定和伊犁州建设工程安全监督中心站部门（单位）《伊犁州建设工程安全监督中心站内部财务控制制度》规定流程，资金支出按照我内控体系中设定的流程申报审批进行；项目支出属于政府采购的，按照局伊犁州建设工程安全监督中心站部门（单位）《伊犁州建设工程安全监督中心站采购与招标管理办法》组织人员制定采购计划，按照财政局采购部门批复，进行公开招标、邀请招标等方式进行；属于非政府采购的项目，按照“三重一大”制度规定，重大项目支出上党组会研究决定。</w:t>
        <w:br/>
        <w:t></w:t>
        <w:br/>
        <w:t>（二）基本支出管理及使用情况</w:t>
        <w:br/>
        <w:t>2021年基本支出预算安排68.13万元，实际到位68.13万元,实际支出56.27万元，占总支出的100.00％，其中：工资福利支出52.82万元、商品和服务支出3.45万元、对个人和家庭的补助0.00万元、主要用于单位的人员及公用经费支出。资本性支出0.00万元。</w:t>
        <w:br/>
        <w:t>2021年基本支出比上年65.57万元,减少9.30万元，降低14.18%，支出减少的主要原因是1人退休。</w:t>
        <w:br/>
        <w:t>2021年一般公共预算“三公”经费数为1.15万元，其中：因公出国（境）费0.00万元，公务用车购置0.00万元，公务用车运行费1.15万元，公务接待费0.00万元。</w:t>
        <w:br/>
        <w:t>2021年一般公共预算“三公”经费比上年增加0.00万元，其中：因公出国（境）费增加0.00万元，主要原因是本年度与上年度均未安排此项支出；公务用车购置费为0.00万元，未安排预算。公务用车运行费增加0.00万元，主要原因是本年度与上年度均未安排此项支出；公务接待费增加0.00万元，主要原因是本年度与上年度均未安排此项支出。</w:t>
        <w:br/>
        <w:t>（三）专项支出管理及使用情况</w:t>
        <w:br/>
        <w:t>1、专项资金安排落实、总投入等情况分析</w:t>
        <w:br/>
        <w:t>2021年预算安排专项资金0.00万元，实际到位0.00万元,到位率0.00％,其中:中央转移支付项目资金0.00万元，自治区资金0.00万元，本级安排0.00万元。</w:t>
        <w:br/>
        <w:t>2、专项资金实际使用情况</w:t>
        <w:br/>
        <w:t>2021年专项资金支出0.00万元，占总支出的0.00%，其中2021年专项项目支出比上年0.00万元增加0.00万元，上升0.00%。</w:t>
        <w:br/>
        <w:t>3、专项资金管理情况</w:t>
        <w:br/>
        <w:t>为规范专项资金使用，提高专项资金使用效益，我部门（单位）主要采取四项措施。</w:t>
        <w:br/>
        <w:t>一是制订专项资金管理制度；二是各专项资金建立了专帐；三是制订了项目实施方案；四是认真组织项目验收。切实确保专项资金都做到了专款专用。其中：</w:t>
        <w:br/>
        <w:t>（1）制定了《项目资金管理办法》，各项资金使用审批流程均按规定办理。涉及“三重一大”内容，严格按照规定提请局党组会审议决定，包括项目资金分配、重大项目确定、大额资金支付等。</w:t>
        <w:br/>
        <w:t>（2）建立专项资金专帐，做到有据可依，有据可查。</w:t>
        <w:br/>
        <w:t>（3）制订了项目实施方案，确保项目正常实施。</w:t>
        <w:br/>
        <w:t>（4）认真组织项目验收，确保项目按期完成。</w:t>
        <w:br/>
        <w:t>专项资金涉及政府采购项目的，按照《伊犁州建设工程造价管理站采购与招标管理办法》组织人员制定采购计划，按照财政局采购部门批复，进行公开招标、邀请招标等方式进行。</w:t>
      </w:r>
    </w:p>
    <w:p w14:paraId="37DCA4AD" w14:textId="72925F4C"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部门单位专项组织实施情况</w:t>
      </w:r>
    </w:p>
    <w:p w14:paraId="745ED414" w14:textId="37185639" w:rsidR="00E8616A" w:rsidRPr="00E8616A" w:rsidRDefault="00E8616A" w:rsidP="00E8616A">
      <w:pPr>
        <w:spacing w:line="600" w:lineRule="exact"/>
        <w:ind w:firstLineChars="250" w:firstLine="80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黑体" w:eastAsia="黑体" w:hAnsi="黑体" w:cs="宋体"/>
          <w:bCs/>
          <w:color w:val="333333"/>
          <w:sz w:val="32"/>
          <w:szCs w:val="32"/>
          <w:lang w:bidi="ar"/>
        </w:rPr>
        <w:t xml:space="preserve"> </w:t>
      </w:r>
      <w:r w:rsidR="00DC7E33">
        <w:rPr>
          <w:rFonts w:ascii="黑体" w:eastAsia="黑体" w:hAnsi="黑体" w:cs="宋体"/>
          <w:bCs/>
          <w:color w:val="333333"/>
          <w:sz w:val="32"/>
          <w:szCs w:val="32"/>
          <w:lang w:bidi="ar"/>
        </w:rPr>
        <w:t xml:space="preserve"> </w:t>
      </w:r>
      <w:r>
        <w:rPr>
          <w:rFonts w:ascii="仿宋_GB2312" w:eastAsia="仿宋_GB2312" w:hAnsi="宋体" w:hint="eastAsia"/>
          <w:b/>
          <w:sz w:val="32"/>
          <w:szCs w:val="32"/>
        </w:rPr>
        <w:t>本单位2021年未安排专项项目支出预算。</w:t>
      </w:r>
    </w:p>
    <w:p w14:paraId="12A3AD8D" w14:textId="629BB3D6"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资产管理情况</w:t>
      </w:r>
    </w:p>
    <w:p w14:paraId="0A4F0C23" w14:textId="6048A21C"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（一）资产配置情况</w:t>
        <w:br/>
        <w:t>2021年我部门（单位）资产总额6.69万元，其中流动资产6.62万元，固定资产净值0.065万元（其中：土地、房屋及构筑物0.00万元，占固定资产净值的0.00%；通用设备0.00万元，占固定资产净值的0.00%；专用设备0.00万元，占固定资产净值的0.00%；）。</w:t>
        <w:br/>
        <w:t>本年度流动资产6.62万元，比上年增加1.82万元，原因是：其他应收款增加。</w:t>
        <w:br/>
        <w:t>本年度固定资产0.065万元，比上年减少0.014万元，原因是：计提折旧。</w:t>
        <w:br/>
        <w:t>实际在用固定资产19.00万元，固定资产利用率100.00%</w:t>
        <w:br/>
        <w:t>（二）资产管理情况</w:t>
        <w:br/>
        <w:t>伊犁州建设工程安全监督中心站固定资产按照“谁使用、谁负责”的原则，一年一次盘点，使用人在登记卡上签字确认。固定资产严格按照内部控制规范、《资产管理办法》、《政府采购管理办法》进行配置和处置。严格按照财务管理的相关要求，制定了《固定资产管理办法》、《货币资金管理制度》和《政府采购管理办法》等固定资产和办公用品使用、审批、稽核的内部管理规范。</w:t>
      </w:r>
    </w:p>
    <w:p w14:paraId="0B4A597E" w14:textId="3A38E9D2"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部门单位整体支出绩效情况</w:t>
      </w:r>
    </w:p>
    <w:p w14:paraId="346EF8A1" w14:textId="12FD60D8" w:rsidR="00E8616A" w:rsidRPr="00E8616A" w:rsidRDefault="00E8616A" w:rsidP="00DC7E33">
      <w:pPr>
        <w:spacing w:line="600" w:lineRule="exact"/>
        <w:ind w:firstLineChars="350" w:firstLine="112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仿宋_GB2312" w:eastAsia="仿宋_GB2312" w:hAnsi="宋体" w:hint="eastAsia"/>
          <w:b/>
          <w:sz w:val="32"/>
          <w:szCs w:val="32"/>
        </w:rPr>
        <w:t>（一）经济效益评价</w:t>
        <w:br/>
        <w:t>2021年度我单位年初预算安排59.10万元，年中调整9.03万元，截止12月底支出56.27万元，执行率82.59%。</w:t>
        <w:br/>
        <w:t>1、预算资金执行过程中均按照年初预算分配情况均做到专款专用，未出现资金侵、挪占情况。</w:t>
        <w:br/>
        <w:t>2、全年按照部门预算进行成本控制，全部控制在厉行节约指标数内。其他支出按财政部门下达的计划实施，全年没有项目超支。</w:t>
        <w:br/>
        <w:t>（二）效率性评价</w:t>
        <w:br/>
        <w:t>2021年，在伊犁州党委的大力支持和伊犁州住建局党组的正确领导下，我单位迎难而上、务实重干，积极推动工程安全监督工作取得了新的进展，为促进经济持续健康发展与社会和谐稳定提供了有力的XXX支撑和保障。</w:t>
        <w:br/>
        <w:t>1、圆满完成安全生产专项整治工作</w:t>
        <w:br/>
        <w:t>2021年我站认真贯彻落实自治区住建厅、自治州安委会关于建筑施工安全生产的要求，重点推进消防、高支模、深基坑、脚手架、建筑起重机械、临时用电等专项整治，州县两级安监站对在建工地安全生产专项行动达到全覆盖，及时消除安全隐患，形成闭环管理，有效遏制多发易发性生产安全事故的发生。</w:t>
        <w:br/>
        <w:t>2、深入推进建筑施工安全生产标准化工作任务提前完成</w:t>
        <w:br/>
        <w:t>积极推进州直建筑施工安全生产标准化工作，强化建筑施工企业和建设工程项目安全管理。开展建筑施工安全生产标准化工地创建工作，充分发挥样板引路的作用，以点带面，全面提升建筑施工安全生产水平。</w:t>
        <w:br/>
        <w:t>3、安全培训教育工作全面达标，群众满意度高</w:t>
        <w:br/>
        <w:t>督促企业大力开展培训教育工作，突出抓好企业主要负责人、安全管理人员、特种作业人员的培训，全面提升建筑行业安全管理水平。弘扬生命至上、安全第一的思想，扎实开展建设工程安全监督工作，圆满完成了各项工作任务，保持州直住建系统安全生产形势总体稳定向好，得到施工单位的一致好评。</w:t>
        <w:br/>
        <w:t></w:t>
        <w:br/>
        <w:t>（三）有效性评价</w:t>
        <w:br/>
        <w:t>2021年部门支出的有效性主要体现在我单位各项工作成效上，一是全面加强党的基本建设进一步夯实，二是安全监督管理能力进一步提升，三是安全监督管理办法进一步改善，四是安全监督管理质量进一步提高，五是安全培训工作进一步推进，七是安全监督水平进一步增强，详细情况如下：</w:t>
        <w:br/>
        <w:t>我伊犁州建设工程安全监督中心站部门（单位）部门单位整体绩效目标共设置一级指标3个，二级指标6个，三级指标9个，详细说明如下：</w:t>
        <w:br/>
        <w:t>1、数量指标：</w:t>
        <w:br/>
        <w:t>指标1：保障在职人员人数，指标值：&gt;=4人，实际完成值：4人，指标完成率100.00%；</w:t>
        <w:br/>
        <w:t>2、质量指标：</w:t>
        <w:br/>
        <w:t>指标1：工资及公用经费保障，指标值：=100%，实际完成值：100%，指标完成率100.00%；</w:t>
        <w:br/>
        <w:t>3、时效指标：</w:t>
        <w:br/>
        <w:t>指标1：资金发放及时性：，指标值：=100%，实际完成值：100%天，指标完成率100.00%；</w:t>
        <w:br/>
        <w:t>4、成本指标：</w:t>
        <w:br/>
        <w:t>指标1：人均支出标准，指标值：≤13.33万元，实际完成值：10.46万元，指标完成率78.47%；</w:t>
        <w:br/>
        <w:t>指标2：人均运转经费数，指标值：≤1.45万元，实际完成值：1.2万元，指标完成率82.76%；</w:t>
        <w:br/>
        <w:t>5、社会效益指标：</w:t>
        <w:br/>
        <w:t>指标1：提升工作人员安全监督能力，指标值：有效提升，实际完成值：有效提升，指标完成率100.00%；</w:t>
        <w:br/>
        <w:t>指标2：降低建筑工程安全隐患，指标值：有效降低，实际完成值：有效降低，指标完成率100.00%；</w:t>
        <w:br/>
        <w:t>6、满意度指标：</w:t>
        <w:br/>
        <w:t>指标1：职工满意度，指标值：&gt;=95%，实际完成值：95.12%，指标完成率100.12%；</w:t>
        <w:br/>
        <w:t>指标2：建设行业企业满意度，指标值：&gt;=95%，实际完成值：100%，指标完成率105.26%；</w:t>
      </w:r>
    </w:p>
    <w:p w14:paraId="4D3E30DF" w14:textId="1C072494"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存在的主要问题</w:t>
      </w:r>
    </w:p>
    <w:p w14:paraId="5912FC22" w14:textId="46E8FFED"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1.在编制绩效项目支出绩效工作过程中，预算编制工作有待细化，预算编制不够明确和细化，整体绩效预算编制的合理性需要提高，预算执行力度还要进一步加强。受财力所限，目前的资金情况还不能更好的提高服务的层次。</w:t>
        <w:br/>
        <w:t>2.相关工作人员经验不足，绩效管理意识不高，对于指标的编制还不够完善。缺乏科学、统一、完整的财政绩效评价指标体系，并且绩效管理缺乏约束和制度保障。</w:t>
      </w:r>
    </w:p>
    <w:p w14:paraId="65E5B227" w14:textId="14D4F6D7"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改进措施和建议</w:t>
      </w:r>
    </w:p>
    <w:p w14:paraId="490E58CB" w14:textId="1CE8FBAC"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（一）改进措施</w:t>
        <w:br/>
        <w:t>对预算绩效管理、绩效理念尚未真正贯穿于实践工作，对于指标的编制还不够完善。没有将项目库项目的申报、立项审批、实施流程、项目验收等环节全部纳入统一管理。</w:t>
        <w:br/>
        <w:t/>
        <w:br/>
        <w:t>（二）建议</w:t>
        <w:br/>
        <w:t>建议加强预算绩效管理业务的培训，提高单位人员绩效考核的认知，提高资金使用效率。</w:t>
      </w:r>
    </w:p>
    <w:p w14:paraId="37F06586" w14:textId="77777777" w:rsidR="00340E58" w:rsidRPr="00950CC4"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附表：《部门整体支出绩效目标自评表》</w:t>
      </w:r>
    </w:p>
    <w:p w14:paraId="550E9160" w14:textId="77777777" w:rsidR="008F0DCE" w:rsidRPr="00340E58" w:rsidRDefault="008F0DCE"/>
    <w:sectPr w:rsidR="008F0DCE" w:rsidRPr="00340E5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F9EDE2" w14:textId="77777777" w:rsidR="003E45AA" w:rsidRDefault="003E45AA" w:rsidP="00340E58">
      <w:r>
        <w:separator/>
      </w:r>
    </w:p>
  </w:endnote>
  <w:endnote w:type="continuationSeparator" w:id="0">
    <w:p w14:paraId="7EB096F5" w14:textId="77777777" w:rsidR="003E45AA" w:rsidRDefault="003E45AA" w:rsidP="00340E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1" w:usb1="080E0000" w:usb2="00000000" w:usb3="00000000" w:csb0="00040000" w:csb1="00000000"/>
  </w:font>
  <w:font w:name="华文中宋">
    <w:panose1 w:val="02010600040101010101"/>
    <w:charset w:val="86"/>
    <w:family w:val="auto"/>
    <w:pitch w:val="variable"/>
    <w:sig w:usb0="00000287" w:usb1="080F0000" w:usb2="00000010" w:usb3="00000000" w:csb0="0004009F" w:csb1="00000000"/>
  </w:font>
  <w:font w:name="仿宋_GB2312">
    <w:altName w:val="仿宋"/>
    <w:charset w:val="86"/>
    <w:family w:val="modern"/>
    <w:pitch w:val="default"/>
    <w:sig w:usb0="00000001" w:usb1="080E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21BEFC" w14:textId="77777777" w:rsidR="003E45AA" w:rsidRDefault="003E45AA" w:rsidP="00340E58">
      <w:r>
        <w:separator/>
      </w:r>
    </w:p>
  </w:footnote>
  <w:footnote w:type="continuationSeparator" w:id="0">
    <w:p w14:paraId="14F82E79" w14:textId="77777777" w:rsidR="003E45AA" w:rsidRDefault="003E45AA" w:rsidP="00340E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9703BB8"/>
    <w:multiLevelType w:val="multilevel"/>
    <w:tmpl w:val="69703BB8"/>
    <w:lvl w:ilvl="0">
      <w:start w:val="1"/>
      <w:numFmt w:val="japaneseCounting"/>
      <w:lvlText w:val="%1、"/>
      <w:lvlJc w:val="left"/>
      <w:pPr>
        <w:ind w:left="1368" w:hanging="720"/>
      </w:pPr>
      <w:rPr>
        <w:rFonts w:hint="default"/>
      </w:rPr>
    </w:lvl>
    <w:lvl w:ilvl="1">
      <w:start w:val="1"/>
      <w:numFmt w:val="lowerLetter"/>
      <w:lvlText w:val="%2)"/>
      <w:lvlJc w:val="left"/>
      <w:pPr>
        <w:ind w:left="1488" w:hanging="420"/>
      </w:pPr>
    </w:lvl>
    <w:lvl w:ilvl="2">
      <w:start w:val="1"/>
      <w:numFmt w:val="lowerRoman"/>
      <w:lvlText w:val="%3."/>
      <w:lvlJc w:val="right"/>
      <w:pPr>
        <w:ind w:left="1908" w:hanging="420"/>
      </w:pPr>
    </w:lvl>
    <w:lvl w:ilvl="3">
      <w:start w:val="1"/>
      <w:numFmt w:val="decimal"/>
      <w:lvlText w:val="%4."/>
      <w:lvlJc w:val="left"/>
      <w:pPr>
        <w:ind w:left="2328" w:hanging="420"/>
      </w:pPr>
    </w:lvl>
    <w:lvl w:ilvl="4">
      <w:start w:val="1"/>
      <w:numFmt w:val="lowerLetter"/>
      <w:lvlText w:val="%5)"/>
      <w:lvlJc w:val="left"/>
      <w:pPr>
        <w:ind w:left="2748" w:hanging="420"/>
      </w:pPr>
    </w:lvl>
    <w:lvl w:ilvl="5">
      <w:start w:val="1"/>
      <w:numFmt w:val="lowerRoman"/>
      <w:lvlText w:val="%6."/>
      <w:lvlJc w:val="right"/>
      <w:pPr>
        <w:ind w:left="3168" w:hanging="420"/>
      </w:pPr>
    </w:lvl>
    <w:lvl w:ilvl="6">
      <w:start w:val="1"/>
      <w:numFmt w:val="decimal"/>
      <w:lvlText w:val="%7."/>
      <w:lvlJc w:val="left"/>
      <w:pPr>
        <w:ind w:left="3588" w:hanging="420"/>
      </w:pPr>
    </w:lvl>
    <w:lvl w:ilvl="7">
      <w:start w:val="1"/>
      <w:numFmt w:val="lowerLetter"/>
      <w:lvlText w:val="%8)"/>
      <w:lvlJc w:val="left"/>
      <w:pPr>
        <w:ind w:left="4008" w:hanging="420"/>
      </w:pPr>
    </w:lvl>
    <w:lvl w:ilvl="8">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E59150"/>
  <w15:chartTrackingRefBased/>
  <w15:docId w15:val="{AB403C91-96A9-4489-9DBC-85D953C40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40E5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40E58"/>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340E58"/>
    <w:rPr>
      <w:sz w:val="18"/>
      <w:szCs w:val="18"/>
    </w:rPr>
  </w:style>
  <w:style w:type="paragraph" w:styleId="a5">
    <w:name w:val="footer"/>
    <w:basedOn w:val="a"/>
    <w:link w:val="a6"/>
    <w:uiPriority w:val="99"/>
    <w:unhideWhenUsed/>
    <w:rsid w:val="00340E58"/>
    <w:pPr>
      <w:tabs>
        <w:tab w:val="center" w:pos="4153"/>
        <w:tab w:val="right" w:pos="8306"/>
      </w:tabs>
      <w:snapToGrid w:val="0"/>
      <w:jc w:val="left"/>
    </w:pPr>
    <w:rPr>
      <w:sz w:val="18"/>
      <w:szCs w:val="18"/>
    </w:rPr>
  </w:style>
  <w:style w:type="character" w:customStyle="1" w:styleId="a6">
    <w:name w:val="页脚 字符"/>
    <w:basedOn w:val="a0"/>
    <w:link w:val="a5"/>
    <w:uiPriority w:val="99"/>
    <w:rsid w:val="00340E58"/>
    <w:rPr>
      <w:sz w:val="18"/>
      <w:szCs w:val="18"/>
    </w:rPr>
  </w:style>
  <w:style w:type="paragraph" w:styleId="a7">
    <w:name w:val="List Paragraph"/>
    <w:basedOn w:val="a"/>
    <w:uiPriority w:val="34"/>
    <w:qFormat/>
    <w:rsid w:val="00E8616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no"?>
<Relationships xmlns="http://schemas.openxmlformats.org/package/2006/relationships">
<Relationship Id="rId1" Target="numbering.xml" Type="http://schemas.openxmlformats.org/officeDocument/2006/relationships/numbering"/>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ntTable.xml" Type="http://schemas.openxmlformats.org/officeDocument/2006/relationships/fontTable"/>
<Relationship Id="rId8"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2</Pages>
  <Words>51</Words>
  <Characters>293</Characters>
  <Application>Microsoft Office Word</Application>
  <DocSecurity>0</DocSecurity>
  <Lines>2</Lines>
  <Paragraphs>1</Paragraphs>
  <ScaleCrop>false</ScaleCrop>
  <Company/>
  <LinksUpToDate>false</LinksUpToDate>
  <CharactersWithSpaces>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2020-06-04T05:22:00Z</dcterms:created>
  <dc:creator>hongbing liu</dc:creator>
  <cp:lastModifiedBy>liu hongbing</cp:lastModifiedBy>
  <dcterms:modified xsi:type="dcterms:W3CDTF">2020-06-23T16:43:00Z</dcterms:modified>
  <cp:revision>22</cp:revision>
</cp:coreProperties>
</file>