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175B3F9" w14:textId="77777777" w:rsidR="00340E58" w:rsidRDefault="00340E58" w:rsidP="00340E58">
      <w:pPr>
        <w:widowControl/>
        <w:jc w:val="left"/>
        <w:rPr>
          <w:rFonts w:ascii="黑体" w:eastAsia="黑体" w:hAnsi="黑体" w:cs="宋体"/>
          <w:color w:val="333333"/>
          <w:sz w:val="32"/>
          <w:szCs w:val="32"/>
          <w:lang w:bidi="ar"/>
        </w:rPr>
      </w:pPr>
      <w:r>
        <w:rPr>
          <w:rFonts w:ascii="黑体" w:eastAsia="黑体" w:hAnsi="黑体" w:cs="宋体" w:hint="eastAsia"/>
          <w:color w:val="333333"/>
          <w:sz w:val="32"/>
          <w:szCs w:val="32"/>
          <w:lang w:bidi="ar"/>
        </w:rPr>
        <w:t>附件4：</w:t>
      </w:r>
    </w:p>
    <w:p w14:paraId="2B863724"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56FE3831"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71BEA104"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393401E7"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1B39C0AE"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11A18AD0"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7D56F87E" w14:textId="77777777" w:rsidR="00340E58" w:rsidRDefault="00340E58" w:rsidP="00340E58">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自治区本级部门单位整体支出绩效</w:t>
      </w:r>
    </w:p>
    <w:p w14:paraId="0C87FD0D" w14:textId="77777777" w:rsidR="00340E58" w:rsidRDefault="00340E58" w:rsidP="00340E58">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自评报告</w:t>
      </w:r>
    </w:p>
    <w:p w14:paraId="58039830" w14:textId="77777777" w:rsidR="00340E58" w:rsidRDefault="00340E58" w:rsidP="00340E58">
      <w:pPr>
        <w:spacing w:line="540" w:lineRule="exact"/>
        <w:jc w:val="center"/>
        <w:rPr>
          <w:rFonts w:ascii="华文中宋" w:eastAsia="华文中宋" w:hAnsi="华文中宋" w:cs="宋体"/>
          <w:b/>
          <w:kern w:val="0"/>
          <w:sz w:val="52"/>
          <w:szCs w:val="52"/>
        </w:rPr>
      </w:pPr>
    </w:p>
    <w:p w14:paraId="1CF259AF" w14:textId="1D2CF3A4" w:rsidR="00340E58" w:rsidRDefault="00340E58" w:rsidP="00340E58">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sidR="00584481" w:rsidRPr="00E8616A">
        <w:rPr>
          <w:rFonts w:ascii="仿宋_GB2312" w:eastAsia="仿宋_GB2312" w:hAnsi="宋体" w:hint="eastAsia"/>
          <w:b/>
          <w:sz w:val="32"/>
          <w:szCs w:val="32"/>
        </w:rPr>
        <w:t>2021</w:t>
      </w:r>
      <w:proofErr w:type="spellStart"/>
      <w:proofErr w:type="spellEnd"/>
      <w:r>
        <w:rPr>
          <w:rFonts w:eastAsia="仿宋_GB2312" w:hAnsi="宋体" w:cs="宋体" w:hint="eastAsia"/>
          <w:kern w:val="0"/>
          <w:sz w:val="36"/>
          <w:szCs w:val="36"/>
        </w:rPr>
        <w:t>年度）</w:t>
      </w:r>
    </w:p>
    <w:p w14:paraId="186745CD" w14:textId="77777777" w:rsidR="00340E58" w:rsidRDefault="00340E58" w:rsidP="00340E58">
      <w:pPr>
        <w:spacing w:line="540" w:lineRule="exact"/>
        <w:jc w:val="center"/>
        <w:rPr>
          <w:rFonts w:eastAsia="仿宋_GB2312" w:hAnsi="宋体" w:cs="宋体"/>
          <w:kern w:val="0"/>
          <w:sz w:val="30"/>
          <w:szCs w:val="30"/>
        </w:rPr>
      </w:pPr>
    </w:p>
    <w:p w14:paraId="4CED77EE" w14:textId="77777777" w:rsidR="00340E58" w:rsidRPr="00653C1A" w:rsidRDefault="00340E58" w:rsidP="00340E58">
      <w:pPr>
        <w:spacing w:line="540" w:lineRule="exact"/>
        <w:jc w:val="center"/>
        <w:rPr>
          <w:rFonts w:eastAsia="仿宋_GB2312" w:hAnsi="宋体" w:cs="宋体"/>
          <w:kern w:val="0"/>
          <w:sz w:val="30"/>
          <w:szCs w:val="30"/>
        </w:rPr>
      </w:pPr>
    </w:p>
    <w:p w14:paraId="4D1EB09D" w14:textId="77777777" w:rsidR="00340E58" w:rsidRDefault="00340E58" w:rsidP="00340E58">
      <w:pPr>
        <w:spacing w:line="540" w:lineRule="exact"/>
        <w:jc w:val="center"/>
        <w:rPr>
          <w:rFonts w:ascii="方正小标宋_GBK" w:eastAsia="方正小标宋_GBK" w:hAnsi="宋体" w:cs="宋体"/>
          <w:kern w:val="0"/>
          <w:sz w:val="36"/>
          <w:szCs w:val="36"/>
        </w:rPr>
      </w:pPr>
      <w:r>
        <w:rPr>
          <w:rFonts w:ascii="方正小标宋_GBK" w:eastAsia="方正小标宋_GBK" w:hAnsi="宋体" w:cs="宋体" w:hint="eastAsia"/>
          <w:kern w:val="0"/>
          <w:sz w:val="36"/>
          <w:szCs w:val="36"/>
        </w:rPr>
        <w:t>参考模板</w:t>
      </w:r>
    </w:p>
    <w:p w14:paraId="2D6A57FE" w14:textId="77777777" w:rsidR="00340E58" w:rsidRDefault="00340E58" w:rsidP="00340E58">
      <w:pPr>
        <w:spacing w:line="540" w:lineRule="exact"/>
        <w:jc w:val="center"/>
        <w:rPr>
          <w:rFonts w:eastAsia="仿宋_GB2312" w:hAnsi="宋体" w:cs="宋体"/>
          <w:kern w:val="0"/>
          <w:sz w:val="30"/>
          <w:szCs w:val="30"/>
        </w:rPr>
      </w:pPr>
    </w:p>
    <w:p w14:paraId="63BE86C2" w14:textId="77777777" w:rsidR="00340E58" w:rsidRDefault="00340E58" w:rsidP="00340E58">
      <w:pPr>
        <w:spacing w:line="540" w:lineRule="exact"/>
        <w:jc w:val="center"/>
        <w:rPr>
          <w:rFonts w:eastAsia="仿宋_GB2312" w:hAnsi="宋体" w:cs="宋体"/>
          <w:kern w:val="0"/>
          <w:sz w:val="30"/>
          <w:szCs w:val="30"/>
        </w:rPr>
      </w:pPr>
    </w:p>
    <w:p w14:paraId="1F44B85D" w14:textId="77777777" w:rsidR="00340E58" w:rsidRDefault="00340E58" w:rsidP="00340E58">
      <w:pPr>
        <w:spacing w:line="540" w:lineRule="exact"/>
        <w:jc w:val="center"/>
        <w:rPr>
          <w:rFonts w:eastAsia="仿宋_GB2312" w:hAnsi="宋体" w:cs="宋体"/>
          <w:kern w:val="0"/>
          <w:sz w:val="30"/>
          <w:szCs w:val="30"/>
        </w:rPr>
      </w:pPr>
    </w:p>
    <w:p w14:paraId="2A61933D" w14:textId="77777777" w:rsidR="00340E58" w:rsidRDefault="00340E58" w:rsidP="00340E58">
      <w:pPr>
        <w:spacing w:line="540" w:lineRule="exact"/>
        <w:rPr>
          <w:rFonts w:eastAsia="仿宋_GB2312" w:hAnsi="宋体" w:cs="宋体"/>
          <w:kern w:val="0"/>
          <w:sz w:val="30"/>
          <w:szCs w:val="30"/>
        </w:rPr>
      </w:pPr>
    </w:p>
    <w:p w14:paraId="7C5A61A0" w14:textId="77777777" w:rsidR="00340E58" w:rsidRDefault="00340E58" w:rsidP="00340E58">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14:paraId="3260287E" w14:textId="77777777" w:rsidR="00340E58" w:rsidRDefault="00340E58" w:rsidP="00340E58">
      <w:pPr>
        <w:spacing w:line="700" w:lineRule="exact"/>
        <w:ind w:firstLineChars="236" w:firstLine="850"/>
        <w:jc w:val="left"/>
        <w:rPr>
          <w:rFonts w:eastAsia="仿宋_GB2312" w:hAnsi="宋体" w:cs="宋体"/>
          <w:kern w:val="0"/>
          <w:sz w:val="36"/>
          <w:szCs w:val="36"/>
        </w:rPr>
      </w:pPr>
      <w:r>
        <w:rPr>
          <w:rFonts w:eastAsia="仿宋_GB2312" w:hAnsi="宋体" w:cs="宋体" w:hint="eastAsia"/>
          <w:kern w:val="0"/>
          <w:sz w:val="36"/>
          <w:szCs w:val="36"/>
        </w:rPr>
        <w:t>部门单位名称（公章）：</w:t>
      </w:r>
    </w:p>
    <w:p w14:paraId="2DFE3CDF" w14:textId="77777777" w:rsidR="00340E58" w:rsidRDefault="00340E58" w:rsidP="00340E58">
      <w:pPr>
        <w:spacing w:line="700" w:lineRule="exact"/>
        <w:ind w:firstLineChars="236" w:firstLine="850"/>
        <w:jc w:val="left"/>
        <w:rPr>
          <w:rFonts w:eastAsia="仿宋_GB2312" w:hAnsi="宋体" w:cs="宋体"/>
          <w:kern w:val="0"/>
          <w:sz w:val="36"/>
          <w:szCs w:val="36"/>
        </w:rPr>
      </w:pPr>
      <w:r>
        <w:rPr>
          <w:rFonts w:eastAsia="仿宋_GB2312" w:hAnsi="宋体" w:cs="宋体" w:hint="eastAsia"/>
          <w:kern w:val="0"/>
          <w:sz w:val="36"/>
          <w:szCs w:val="36"/>
        </w:rPr>
        <w:t>填报时间：</w:t>
      </w:r>
      <w:r>
        <w:rPr>
          <w:rFonts w:eastAsia="仿宋_GB2312" w:hAnsi="宋体" w:cs="宋体" w:hint="eastAsia"/>
          <w:kern w:val="0"/>
          <w:sz w:val="36"/>
          <w:szCs w:val="36"/>
        </w:rPr>
        <w:t xml:space="preserve">     </w:t>
      </w:r>
      <w:r>
        <w:rPr>
          <w:rFonts w:eastAsia="仿宋_GB2312" w:hAnsi="宋体" w:cs="宋体" w:hint="eastAsia"/>
          <w:kern w:val="0"/>
          <w:sz w:val="36"/>
          <w:szCs w:val="36"/>
        </w:rPr>
        <w:t>年</w:t>
      </w:r>
      <w:r>
        <w:rPr>
          <w:rFonts w:eastAsia="仿宋_GB2312" w:hAnsi="宋体" w:cs="宋体" w:hint="eastAsia"/>
          <w:kern w:val="0"/>
          <w:sz w:val="36"/>
          <w:szCs w:val="36"/>
        </w:rPr>
        <w:t xml:space="preserve">     </w:t>
      </w:r>
      <w:r>
        <w:rPr>
          <w:rFonts w:eastAsia="仿宋_GB2312" w:hAnsi="宋体" w:cs="宋体" w:hint="eastAsia"/>
          <w:kern w:val="0"/>
          <w:sz w:val="36"/>
          <w:szCs w:val="36"/>
        </w:rPr>
        <w:t>月</w:t>
      </w:r>
      <w:r>
        <w:rPr>
          <w:rFonts w:eastAsia="仿宋_GB2312" w:hAnsi="宋体" w:cs="宋体" w:hint="eastAsia"/>
          <w:kern w:val="0"/>
          <w:sz w:val="36"/>
          <w:szCs w:val="36"/>
        </w:rPr>
        <w:t xml:space="preserve">     </w:t>
      </w:r>
      <w:r>
        <w:rPr>
          <w:rFonts w:eastAsia="仿宋_GB2312" w:hAnsi="宋体" w:cs="宋体" w:hint="eastAsia"/>
          <w:kern w:val="0"/>
          <w:sz w:val="36"/>
          <w:szCs w:val="36"/>
        </w:rPr>
        <w:t>日</w:t>
      </w:r>
    </w:p>
    <w:p w14:paraId="0D71FB5A" w14:textId="4CFF04A3" w:rsidR="00340E58" w:rsidRDefault="00340E58" w:rsidP="00340E58">
      <w:pPr>
        <w:spacing w:line="700" w:lineRule="exact"/>
        <w:jc w:val="left"/>
        <w:rPr>
          <w:rFonts w:eastAsia="仿宋_GB2312" w:hAnsi="宋体" w:cs="宋体"/>
          <w:kern w:val="0"/>
          <w:sz w:val="36"/>
          <w:szCs w:val="36"/>
        </w:rPr>
      </w:pPr>
    </w:p>
    <w:p w14:paraId="6E61B129" w14:textId="34D66AD4" w:rsidR="001C7F2C" w:rsidRDefault="001C7F2C" w:rsidP="00340E58">
      <w:pPr>
        <w:spacing w:line="700" w:lineRule="exact"/>
        <w:jc w:val="left"/>
        <w:rPr>
          <w:rFonts w:eastAsia="仿宋_GB2312" w:hAnsi="宋体" w:cs="宋体"/>
          <w:kern w:val="0"/>
          <w:sz w:val="36"/>
          <w:szCs w:val="36"/>
        </w:rPr>
      </w:pPr>
    </w:p>
    <w:p w14:paraId="20CD2773" w14:textId="77777777" w:rsidR="001C7F2C" w:rsidRDefault="001C7F2C" w:rsidP="00340E58">
      <w:pPr>
        <w:spacing w:line="700" w:lineRule="exact"/>
        <w:jc w:val="left"/>
        <w:rPr>
          <w:rFonts w:eastAsia="仿宋_GB2312" w:hAnsi="宋体" w:cs="宋体"/>
          <w:kern w:val="0"/>
          <w:sz w:val="36"/>
          <w:szCs w:val="36"/>
        </w:rPr>
      </w:pPr>
    </w:p>
    <w:p w14:paraId="68C451FB" w14:textId="03C88F19"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基本概况</w:t>
      </w:r>
    </w:p>
    <w:p w14:paraId="40265AFE" w14:textId="0AADA328" w:rsidR="00E8616A" w:rsidRPr="007E47F4" w:rsidRDefault="00E8616A" w:rsidP="007E47F4">
      <w:pPr>
        <w:spacing w:line="600" w:lineRule="exact"/>
        <w:ind w:left="648" w:firstLineChars="200" w:firstLine="643"/>
        <w:jc w:val="left"/>
        <w:rPr>
          <w:rFonts w:ascii="仿宋_GB2312" w:eastAsia="仿宋_GB2312" w:hAnsi="宋体" w:hint="eastAsia"/>
          <w:b/>
          <w:sz w:val="32"/>
          <w:szCs w:val="32"/>
        </w:rPr>
      </w:pPr>
      <w:r w:rsidRPr="00E8616A">
        <w:rPr>
          <w:rFonts w:ascii="仿宋_GB2312" w:eastAsia="仿宋_GB2312" w:hAnsi="宋体" w:hint="eastAsia"/>
          <w:b/>
          <w:sz w:val="32"/>
          <w:szCs w:val="32"/>
        </w:rPr>
        <w:t>1、主要职能</w:t>
        <w:br/>
        <w:t xml:space="preserve">    (1)承担伊犁州直范围内土地、矿产等国土资源利用总体规划、保护和开发整理规划的编制工作；</w:t>
        <w:br/>
        <w:t>(2)负责国土资源调查评价地籍调查、工程测量、房产测绘、土地勘测定界、地籍信息系统化建设、农用地分等级与估价等工作。 </w:t>
        <w:br/>
        <w:t>2、机构人员构成</w:t>
        <w:br/>
        <w:t>组织机构设置：</w:t>
        <w:br/>
        <w:t>（1）伊犁州国土资源勘测规划院单位无下属预算单位，下设 3个科室，分别是：规划室、测绘室、办公室。</w:t>
        <w:br/>
        <w:t>（2）2021年伊犁州国土资源勘测规划院实有在职人员为   26人，其中：</w:t>
        <w:br/>
        <w:t>事业在职  18 人（上年22人），同比上年减少4 人；</w:t>
        <w:br/>
        <w:t>实有退休人员8人（上年8人）,与上年一致。</w:t>
      </w:r>
      <w:bookmarkStart w:id="0" w:name="_Hlk43849111"/>
      <w:bookmarkEnd w:id="0"/>
    </w:p>
    <w:p w14:paraId="1FB1F5AB" w14:textId="06EB5EB4"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部门单位整体支出管理及使用情况</w:t>
      </w:r>
    </w:p>
    <w:p w14:paraId="0E9CCC6D" w14:textId="3BB090B7" w:rsidR="00E8616A" w:rsidRPr="00E8616A" w:rsidRDefault="00E8616A" w:rsidP="00E8616A">
      <w:pPr>
        <w:spacing w:line="600" w:lineRule="exact"/>
        <w:ind w:firstLineChars="250" w:firstLine="800"/>
        <w:jc w:val="left"/>
        <w:rPr>
          <w:rFonts w:ascii="仿宋_GB2312" w:eastAsia="仿宋_GB2312" w:hAnsi="宋体"/>
          <w:b/>
          <w:sz w:val="32"/>
          <w:szCs w:val="32"/>
        </w:rPr>
      </w:pPr>
      <w:r>
        <w:rPr>
          <w:rFonts w:ascii="黑体" w:eastAsia="黑体" w:hAnsi="黑体" w:cs="宋体" w:hint="eastAsia"/>
          <w:bCs/>
          <w:color w:val="333333"/>
          <w:sz w:val="32"/>
          <w:szCs w:val="32"/>
          <w:lang w:bidi="ar"/>
        </w:rPr>
        <w:t xml:space="preserve"> </w:t>
      </w:r>
      <w:r>
        <w:rPr>
          <w:rFonts w:ascii="黑体" w:eastAsia="黑体" w:hAnsi="黑体" w:cs="宋体"/>
          <w:bCs/>
          <w:color w:val="333333"/>
          <w:sz w:val="32"/>
          <w:szCs w:val="32"/>
          <w:lang w:bidi="ar"/>
        </w:rPr>
        <w:t xml:space="preserve"> </w:t>
      </w:r>
      <w:r w:rsidR="00DC7E33">
        <w:rPr>
          <w:rFonts w:ascii="黑体" w:eastAsia="黑体" w:hAnsi="黑体" w:cs="宋体"/>
          <w:bCs/>
          <w:color w:val="333333"/>
          <w:sz w:val="32"/>
          <w:szCs w:val="32"/>
          <w:lang w:bidi="ar"/>
        </w:rPr>
        <w:t xml:space="preserve"> </w:t>
      </w:r>
      <w:r>
        <w:rPr>
          <w:rFonts w:ascii="仿宋_GB2312" w:eastAsia="仿宋_GB2312" w:hAnsi="宋体" w:hint="eastAsia"/>
          <w:b/>
          <w:sz w:val="32"/>
          <w:szCs w:val="32"/>
        </w:rPr>
        <w:t>（一）预算管理</w:t>
        <w:br/>
        <w:t>1、预算编制管理</w:t>
        <w:br/>
        <w:t>我单位严格按照财政部门预算编制与预算调整的工作要求，在预算编制、分配依据充分的条件下，切实做好“先定目标再编预算”，确保预算分配结果合理。同时按照伊犁州财政《关于做好2021年伊犁州直预算公开工作的通知》的要求，部门预算及绩效目标在伊犁州政务信息公开网公开，广泛接受社会监督。</w:t>
        <w:br/>
        <w:t>2、预算支出管理</w:t>
        <w:br/>
        <w:t>我单位按照财政要求基本支出分月度申报资金使用计划，由财政部门按照进度每月按期拨付，人员支出按照工资计划发放工资；依照伊犁州国土勘测规划院《财务支出管理办法》相关规定和伊犁州国土勘测规划院《财政资金一体化操作规程》规定流程，资金支出按照我内控体系中设定的流程申报审批进行；项目支出属于政府采购的，按照伊犁州国土勘测规划院《伊犁州采购与招标管理办法》组织人员制定采购计划，按照财政局采购部门批复，进行公开招标、邀请招标等方式进行；属于非政府采购的项目，按照“三重一大”制度规定，重大项目支出上党组会研究决定。</w:t>
        <w:br/>
        <w:t>（二）基本支出管理及使用情况</w:t>
        <w:br/>
        <w:t>2021年基本支出预算安排319.62万元，实际到位 319.62万元,实际支出307.18万元，占总支出的60.57％，其中：工资福利支出280.85万元、商品和服务支出 24.35万元、对个人和家庭的补助1.98万元、主要用于退休人员统筹外项目补助和取暖费补助。</w:t>
        <w:br/>
        <w:t>2021年基本支出比上年 300.65万元,增加18.97万元，上升 6.31%，支出上升的主要原因是2021年4月绩效工资标准调高。</w:t>
        <w:br/>
        <w:t>2021年一般公共预算“三公”经费数为 2.3 万元，其中：因公出国（境）费 0万元，公务用车购置 0万元，公务用车运行费 2.3万元，公务接待费 0万元。</w:t>
        <w:br/>
        <w:t>2021年一般公共预算“三公”经费比上年增加0万元，其中：因公出国（境）费增加0万元，主要原因是我单位本年度与上年度均未安排预算；公务用车购置费为0，主要原因是我单位本年度与上年度均未安排预算。公务用车运行费增加0万元，主要原因是车辆编制没有变化；公务接待费增加0万元，主要原因是我单位本年度与上年度均未安排预算。</w:t>
      </w:r>
    </w:p>
    <w:p w14:paraId="37DCA4AD" w14:textId="72925F4C"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部门单位专项组织实施情况</w:t>
      </w:r>
    </w:p>
    <w:p w14:paraId="745ED414" w14:textId="37185639" w:rsidR="00E8616A" w:rsidRPr="00E8616A" w:rsidRDefault="00E8616A" w:rsidP="00E8616A">
      <w:pPr>
        <w:spacing w:line="600" w:lineRule="exact"/>
        <w:ind w:firstLineChars="250" w:firstLine="800"/>
        <w:jc w:val="left"/>
        <w:rPr>
          <w:rFonts w:ascii="仿宋_GB2312" w:eastAsia="仿宋_GB2312" w:hAnsi="宋体"/>
          <w:b/>
          <w:sz w:val="32"/>
          <w:szCs w:val="32"/>
        </w:rPr>
      </w:pPr>
      <w:r>
        <w:rPr>
          <w:rFonts w:ascii="黑体" w:eastAsia="黑体" w:hAnsi="黑体" w:cs="宋体" w:hint="eastAsia"/>
          <w:bCs/>
          <w:color w:val="333333"/>
          <w:sz w:val="32"/>
          <w:szCs w:val="32"/>
          <w:lang w:bidi="ar"/>
        </w:rPr>
        <w:t xml:space="preserve"> </w:t>
      </w:r>
      <w:r>
        <w:rPr>
          <w:rFonts w:ascii="黑体" w:eastAsia="黑体" w:hAnsi="黑体" w:cs="宋体"/>
          <w:bCs/>
          <w:color w:val="333333"/>
          <w:sz w:val="32"/>
          <w:szCs w:val="32"/>
          <w:lang w:bidi="ar"/>
        </w:rPr>
        <w:t xml:space="preserve"> </w:t>
      </w:r>
      <w:r w:rsidR="00DC7E33">
        <w:rPr>
          <w:rFonts w:ascii="黑体" w:eastAsia="黑体" w:hAnsi="黑体" w:cs="宋体"/>
          <w:bCs/>
          <w:color w:val="333333"/>
          <w:sz w:val="32"/>
          <w:szCs w:val="32"/>
          <w:lang w:bidi="ar"/>
        </w:rPr>
        <w:t xml:space="preserve"> </w:t>
      </w:r>
      <w:r>
        <w:rPr>
          <w:rFonts w:ascii="仿宋_GB2312" w:eastAsia="仿宋_GB2312" w:hAnsi="宋体" w:hint="eastAsia"/>
          <w:b/>
          <w:sz w:val="32"/>
          <w:szCs w:val="32"/>
        </w:rPr>
        <w:t>(一)专项组织情况分析</w:t>
        <w:br/>
        <w:t>1、前期准备</w:t>
        <w:br/>
        <w:t>年初我单位下发的经营项目专项工作计划，对项目的工作分工、任务分配、资金落实、完成时限等提出了明确、具体的要求，以确保项目保质、保量、按时完成。详细如下：收集部门成立背景资料、部门战略目标、中长期工作规划、部门职责、组织构成及其职能、预算编制等资料，并组织绩效评价自评小组对部门相关文件进行研读，梳理并确认工作任务及要求、部门内部管理制度及存量资源。梳理2021年专项资金使用情况和专项项目实施规模，根据各专项实际存档资料，就专项工作计划与部门职能和规划内容、与科室和项目之间的对应关系、重点工作安排与重点项目安排情况等，与相关科室的管理人员进行了沟通和交流，深入了解本部门涉及专项资金的使用情况和项目完成情况。</w:t>
        <w:br/>
        <w:t>2、组织实施</w:t>
        <w:br/>
        <w:t>我单位通过文件研读和前期调研等方式，收集、整理、总结部门的职能定位、中长期规划、年度工作计划以及专项项目实施情况。对于专项资金项目下达的绩效目标表，按照下达绩效目标，立足实际完成情况，开展专项项目绩效自评。对于未下达绩效目标表的项目，由我部门自行设定并经财政审核备案后，实施专项项目绩效自评。自评内容主要包括以下两个方面：</w:t>
        <w:br/>
        <w:t>一是对专项项目预算执行情况进行分析，再考察专项项目产出、项目目标的实现程度和管理有效性，从而总结项目取得的业绩和经验，发现项目存在的不足之处。</w:t>
        <w:br/>
        <w:t>二是对财政资金使用合规性进行评价，主要评价：①专项资金不存在截留、挪用，支付审批不合规、不存在用途改变、范围超支和虚列项目支出等情况；②项目实施符合专项管理办法，流程和管理制度合规；③项目完成情况的真实性和绩效目标完成情况分析。通过评价发现财政资金使用中存在的合规性问题，总结财务内控中存在的不足之处。</w:t>
        <w:br/>
        <w:t>截止12月31日，该专项均按照时间计划保质、保量完成。</w:t>
        <w:br/>
        <w:t>（二）专项管理情况分析</w:t>
        <w:br/>
        <w:t>1、资金到位及使用情况</w:t>
        <w:br/>
        <w:t>2021年涉及专项资金200万元，实际到位 200 万元，资金到位率100.00%。截止到2021年12月 31日执行200万元，执行率100.00%。其中：2021年结转专项资金0万元，实际执行0万元，执行率为0.00%; 2021年新增专项资金200万元，实际执行200万元，执行率为100.00%。</w:t>
        <w:br/>
        <w:t>2、资金管理情况</w:t>
        <w:br/>
        <w:t>我单位严格执行《专项资金管理办法》文件精神要求，加强对专项资金的绩效管理，确保专款专用，提高专项资金使用效益。遵守相关法律法规，严肃财经纪律，自觉接受财政、审计、监察监督检查。</w:t>
        <w:br/>
        <w:t>（三）项目实施情况分析</w:t>
        <w:br/>
        <w:t>1、组织情况</w:t>
        <w:br/>
        <w:t>伊犁州国土勘测规划院根据2021年1个项目的绩效目标及工作内容，将其细化分工至本单位3个科室负责人，加强组织领导，明确分工，各司其职，抓好工作目标任务的落实完成，同时年中要求各科室负责人按照年初预算对本科室绩效工作进行自查自评，并报上半年工作情况总结，5月和8月对工作情况进行跟踪检查，确保绩效目标如期实现，不断提高财政资金配置和使用效益。</w:t>
        <w:br/>
        <w:t>2、管理情况</w:t>
        <w:br/>
        <w:t>伊犁州国土勘测规划院实施的1个项目，由相关业务科室指派专人进行全过程跟踪管理，科室负责人统筹推进项目实施，单位领导不定期对项目进度进行调度，并对项目质量进行控制。</w:t>
        <w:br/>
        <w:t>3、监管情况</w:t>
        <w:br/>
        <w:t>规划院副院长沙红柳从项目实施方案、项目预算、项目建设进度、项目成本、项目验收等环节，全过程对项目进行监管，并向本单位主要领导报告，以推进项目建设和提高项目质量，以发挥资金使用效益。</w:t>
        <w:br/>
        <w:t>（四）绩效情况分析</w:t>
        <w:br/>
        <w:t>1、成本控制情况</w:t>
        <w:br/>
        <w:t>伊犁州国土勘测规划院，所涉及专项项目均已于专项资金下达后按照资金文件及绩效管理要求设置《项目绩效目标表》。1个专项项目预算总额为200.00万元，在项目实施过程中，业务人员加强项目管理，合理控制项目成本，截止项目结束，1个项目总成本为200万元，不存在超支情况。</w:t>
        <w:br/>
        <w:t>2、成本节约情况</w:t>
        <w:br/>
        <w:t>伊犁州国土资源勘测规划院，所涉及专项项目使用资金比专项项目总预算减少 0万元，项目节约率为0.00%。</w:t>
        <w:br/>
        <w:t>（五）项目效率性分析</w:t>
        <w:br/>
        <w:t>1、实施进度</w:t>
        <w:br/>
        <w:t>2021年伊犁州国土资源勘测规划院共涉及专项项目1个，截止到2021年底，通过专项项目实施过程中的有效监督，我单位按预期完成了1个专项的各项专项任务项目总体完成率为	100.00%。</w:t>
        <w:br/>
        <w:t>2、完成质量</w:t>
        <w:br/>
        <w:t>1个专项项目完成质量情况如下：</w:t>
        <w:br/>
        <w:t>①2021年伊犁州国土勘测规划院测绘及规划地理信息成本性支出项目：</w:t>
        <w:br/>
        <w:t>（1）完成霍尔果斯第三次土地调查项目工作，已经自治区验收通过；</w:t>
        <w:br/>
        <w:t>（2）完成2020年土地变更项目工作，已经自治区验收通过；</w:t>
        <w:br/>
        <w:t xml:space="preserve"> （3）霍城县、察布察尔县、新源县的土地利用集约评价项目 ；（4）完成伊犁州直勘界测绘工作。</w:t>
        <w:br/>
        <w:t>（六）项目效益性分析</w:t>
        <w:br/>
        <w:t>1个专项项目预期目标完成程度、实施对经济和社会的影响如下：</w:t>
        <w:br/>
        <w:t>1、伊犁州国土勘测规划院测绘及规划地理信息成本性支出项目可以有效完善伊犁州直的土地利用规划信息。</w:t>
        <w:br/>
        <w:t>全面掌握伊犁州直11个县（市）的土地地类、面积、属性及相关单独图层信息的变化情况，更新各县级国土利用数据库，形成年度国土变更调查成果为伊犁州国土系统相关工作提供数据支撑；</w:t>
        <w:br/>
        <w:t>全面开展第三次国土调查工作，全面查清全疆土地利用状况，掌握真实准确的土地基础数据，以县级各类数据库成果为基础，汇总伊犁州行政区域内的国土利用现状情况分析，主要包括湿地、耕地、种植园用地、林地、草地、城镇村及工矿用地、交通运输用地、水域及水利设施用地、其他土地等的总体情况及占比；通过与“二调”数据的对比，分析农用地，包括耕地、种植园用地、人工牧草地、设施农用地的变化情况、变化趋势以及变化原因，分析建设用地，包括城镇及工矿用地、交通运输用地、水工建筑用地的变化情况、变化趋势以及变化原因，分析生态用地，包括湿地、林地、草地、水域、其他未利用地的变化情况、变化趋势以及变化原因。以国土调查数据为基础，根据三调地类编码通过土地利用符号库进行渲染，叠加地理国情数据中的公路、各级行政中心点、铁路、河流等数据，将河流数据进行了跳绘处理，并叠加国界、省界、地级界、县级界、乡镇界等各级行政界线，制作伊犁州土地利用现状图以及遥感影像图，保证数据的准确性和现势性。</w:t>
      </w:r>
    </w:p>
    <w:p w14:paraId="12A3AD8D" w14:textId="629BB3D6"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资产管理情况</w:t>
      </w:r>
    </w:p>
    <w:p w14:paraId="0A4F0C23" w14:textId="6048A21C" w:rsidR="00E8616A" w:rsidRPr="00E8616A" w:rsidRDefault="00E8616A" w:rsidP="00DC7E33">
      <w:pPr>
        <w:spacing w:line="600" w:lineRule="exact"/>
        <w:ind w:left="648" w:firstLineChars="200" w:firstLine="643"/>
        <w:jc w:val="left"/>
        <w:rPr>
          <w:rFonts w:ascii="仿宋_GB2312" w:eastAsia="仿宋_GB2312" w:hAnsi="宋体"/>
          <w:b/>
          <w:sz w:val="32"/>
          <w:szCs w:val="32"/>
        </w:rPr>
      </w:pPr>
      <w:r w:rsidRPr="00E8616A">
        <w:rPr>
          <w:rFonts w:ascii="仿宋_GB2312" w:eastAsia="仿宋_GB2312" w:hAnsi="宋体" w:hint="eastAsia"/>
          <w:b/>
          <w:sz w:val="32"/>
          <w:szCs w:val="32"/>
        </w:rPr>
        <w:t>（一）资产配置情况</w:t>
        <w:br/>
        <w:t>2021年我单位资产总额1375.33万元，其中流动资产   543.25万元（其中货币资金1.16万元，应收账款净额257.81万元，预付账款-2.6万元，其他应收款净额286.87万元，固定资产净值633.02万元（其中：土地、房屋及构筑物86.22   万元，占固定资产净值的13.62%；通用设备253.71 万元，占固定资产净值的41.08%；专用设备270.04 万元，占固定资产净值的42.66%；其他23.05万元，占固定资产净值的3.64%）。</w:t>
        <w:br/>
        <w:t>本年度流动资产543.25万元，比上年减少516.59万元，原因是： 2021年往来户资金支出较大。</w:t>
        <w:br/>
        <w:t>本年度固定资产1554.37 万元，比上年增加1.40 万元，原因是：购置了食堂家具。</w:t>
        <w:br/>
        <w:t>实际在用固定资产1554.37万元，固定资产利用率100%。</w:t>
        <w:br/>
        <w:t>（二）资产管理情况</w:t>
        <w:br/>
        <w:t>1、固定资产按照“谁使用、谁负责”的原则，一年一次盘点，使用人在登记卡上签字确认。固定资产严格按照内部控制规范、《资产管理办法》、《政府采购管理办法》进行配置和处置。严格按照财务管理的相关要求，制定了《固定资产管理办法》、《货币资金管理制度》和《政府采购管理办法》等固定资产和办公用品使用、审批、稽核的内部管理规范。</w:t>
        <w:br/>
        <w:t>2、流动资产根据《行政事业单位资产管理制度》，对货币资金加强管理，统一设立银行存款账户，未经财政主管部门同意不允许单独设立财政监管以外的银行存款账户；现金开支按照规定开支范围支付，对出纳工作具有很强的原则性。因此，出纳人员在经管现金时，严格遵守国家的现金管理规定，正确及时核算和监督现金收支及结存情况，保证现金的安全；预借款管理，按照规定填写《借款单》，经单位负责人审签，由财务负责人签字后报主管财务领导审批，非公务活动一律不得借款，并要求在规定得时间内及时结账。</w:t>
      </w:r>
    </w:p>
    <w:p w14:paraId="0B4A597E" w14:textId="3A38E9D2"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部门单位整体支出绩效情况</w:t>
      </w:r>
    </w:p>
    <w:p w14:paraId="346EF8A1" w14:textId="12FD60D8" w:rsidR="00E8616A" w:rsidRPr="00E8616A" w:rsidRDefault="00E8616A" w:rsidP="00DC7E33">
      <w:pPr>
        <w:spacing w:line="600" w:lineRule="exact"/>
        <w:ind w:firstLineChars="350" w:firstLine="1120"/>
        <w:jc w:val="left"/>
        <w:rPr>
          <w:rFonts w:ascii="仿宋_GB2312" w:eastAsia="仿宋_GB2312" w:hAnsi="宋体"/>
          <w:b/>
          <w:sz w:val="32"/>
          <w:szCs w:val="32"/>
        </w:rPr>
      </w:pPr>
      <w:r>
        <w:rPr>
          <w:rFonts w:ascii="黑体" w:eastAsia="黑体" w:hAnsi="黑体" w:cs="宋体" w:hint="eastAsia"/>
          <w:bCs/>
          <w:color w:val="333333"/>
          <w:sz w:val="32"/>
          <w:szCs w:val="32"/>
          <w:lang w:bidi="ar"/>
        </w:rPr>
        <w:t xml:space="preserve"> </w:t>
      </w:r>
      <w:r>
        <w:rPr>
          <w:rFonts w:ascii="仿宋_GB2312" w:eastAsia="仿宋_GB2312" w:hAnsi="宋体" w:hint="eastAsia"/>
          <w:b/>
          <w:sz w:val="32"/>
          <w:szCs w:val="32"/>
        </w:rPr>
        <w:t>（一）经济效益评价</w:t>
        <w:br/>
        <w:t>2021年度我单位年初预算安排489.34万元，年中调整  17.84万元，截止12月底支出 507.18万元，执行率97.61%。</w:t>
        <w:br/>
        <w:t>1、预算资金执行过程中均按照年初预算分配情况均做到专款专用，未出现资金侵、挪占情况。</w:t>
        <w:br/>
        <w:t>2、全年按照部门预算进行成本控制，全部控制在厉行节约指标数内。其他支出按财政部门下达的计划实施，全年没有项目超支。</w:t>
        <w:br/>
        <w:t>（二）效率性评价</w:t>
        <w:br/>
        <w:t>2021年，在伊犁州政府的大力支持和州自然资源局的正确领导下，我单位迎难而上、务实重干，积极推动各项业务工作取得了新的进展，为促进经济持续健康发展与社会和谐稳定提供了有力的资金支撑和保障。</w:t>
        <w:br/>
        <w:t>1、圆满完成第三次全国土地调查州级汇总工作</w:t>
        <w:br/>
        <w:t>此项工作以县级各类数据库成果为基础，建立州级土地利用现状调查及专项用地调查数据库，实现土地调查成果和专项用地调查成果的集成管理、动态入库、综合查询、统计汇总、数据分析、快速服务等功能。提供第三次土地调查数据库管理信息系统，将第三次土地调查数据库成果规范导入数据库管理系统，通过管理系统进行内业处理、统计汇总分析，形成系列成果，能够满足国土资源管理日常管理应用。</w:t>
        <w:br/>
        <w:t>2、	2020年土地变更任务提前完成</w:t>
        <w:br/>
        <w:t>该项工作可以全面掌握伊犁州直11个县（市）的土地地类、面积、属性及相关单独图层信息的变化情况，更新各县级国土利用数据库，形成年度国土变更调查成果。通过县级实地调查举证，省级、国家级核查，保持国土调查数据的真实性，支撑“伊犁州自然资源一张图”和综合监管平台平稳运行，不断夯实“以图管地”工作基础，为伊犁州国土系统相关工作提供数据支撑。</w:t>
        <w:br/>
        <w:t>3、	有效完善伊犁州直的土地利用规划信息，成效显著。</w:t>
        <w:br/>
        <w:t>4、 承接的项目都已全面达标，群众满意度高。</w:t>
      </w:r>
    </w:p>
    <w:p w14:paraId="4D3E30DF" w14:textId="1C072494"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存在的主要问题</w:t>
      </w:r>
    </w:p>
    <w:p w14:paraId="5912FC22" w14:textId="46E8FFED" w:rsidR="00E8616A" w:rsidRPr="00E8616A" w:rsidRDefault="00E8616A" w:rsidP="00DC7E33">
      <w:pPr>
        <w:spacing w:line="600" w:lineRule="exact"/>
        <w:ind w:left="648" w:firstLineChars="200" w:firstLine="643"/>
        <w:jc w:val="left"/>
        <w:rPr>
          <w:rFonts w:ascii="仿宋_GB2312" w:eastAsia="仿宋_GB2312" w:hAnsi="宋体"/>
          <w:b/>
          <w:sz w:val="32"/>
          <w:szCs w:val="32"/>
        </w:rPr>
      </w:pPr>
      <w:r w:rsidRPr="00E8616A">
        <w:rPr>
          <w:rFonts w:ascii="仿宋_GB2312" w:eastAsia="仿宋_GB2312" w:hAnsi="宋体" w:hint="eastAsia"/>
          <w:b/>
          <w:sz w:val="32"/>
          <w:szCs w:val="32"/>
        </w:rPr>
        <w:t>项目绩效业务专业化要求高，本单位从事项目绩效工作没有专有人员，项目绩效评价都是由会计从始到终完成，填 报标准把握不高。</w:t>
      </w:r>
    </w:p>
    <w:p w14:paraId="65E5B227" w14:textId="14D4F6D7"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改进措施和建议</w:t>
      </w:r>
    </w:p>
    <w:p w14:paraId="490E58CB" w14:textId="1CE8FBAC" w:rsidR="00E8616A" w:rsidRPr="00E8616A" w:rsidRDefault="00E8616A" w:rsidP="00DC7E33">
      <w:pPr>
        <w:spacing w:line="600" w:lineRule="exact"/>
        <w:ind w:left="648" w:firstLineChars="200" w:firstLine="643"/>
        <w:jc w:val="left"/>
        <w:rPr>
          <w:rFonts w:ascii="仿宋_GB2312" w:eastAsia="仿宋_GB2312" w:hAnsi="宋体"/>
          <w:b/>
          <w:sz w:val="32"/>
          <w:szCs w:val="32"/>
        </w:rPr>
      </w:pPr>
      <w:r w:rsidRPr="00E8616A">
        <w:rPr>
          <w:rFonts w:ascii="仿宋_GB2312" w:eastAsia="仿宋_GB2312" w:hAnsi="宋体" w:hint="eastAsia"/>
          <w:b/>
          <w:sz w:val="32"/>
          <w:szCs w:val="32"/>
        </w:rPr>
        <w:t>（一）改进措施</w:t>
        <w:br/>
        <w:t>1、加强整体绩效业务知识学习，真正了解项目绩效工作实质，准确填报相关信息，促进相关工作同步；</w:t>
        <w:br/>
        <w:t>2、加强项目负责人和财务人员的沟通，建立良好的沟通机制，项目负责人应加强对项目的管理，严格按照项目实施时间，保质保量完成项目。</w:t>
        <w:br/>
        <w:t>（二）建议</w:t>
        <w:br/>
        <w:t>1、加大预算绩效管理培训力度，贯彻落实相关办法及制度。</w:t>
        <w:br/>
        <w:t>2、加强资金使用科室对绩效评价工作的认识和重视程度，并将评价结果运用于工作始终。</w:t>
        <w:br/>
        <w:t>3、同时做好项目实施管理与资金使用的匹配，根据项目实施计划制定科学精准的项目进度。</w:t>
      </w:r>
    </w:p>
    <w:p w14:paraId="37F06586" w14:textId="77777777" w:rsidR="00340E58" w:rsidRPr="00950CC4"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附表：《部门整体支出绩效目标自评表》</w:t>
      </w:r>
    </w:p>
    <w:p w14:paraId="550E9160" w14:textId="77777777" w:rsidR="008F0DCE" w:rsidRPr="00340E58" w:rsidRDefault="008F0DCE"/>
    <w:sectPr w:rsidR="008F0DCE" w:rsidRPr="00340E5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EF9EDE2" w14:textId="77777777" w:rsidR="003E45AA" w:rsidRDefault="003E45AA" w:rsidP="00340E58">
      <w:r>
        <w:separator/>
      </w:r>
    </w:p>
  </w:endnote>
  <w:endnote w:type="continuationSeparator" w:id="0">
    <w:p w14:paraId="7EB096F5" w14:textId="77777777" w:rsidR="003E45AA" w:rsidRDefault="003E45AA" w:rsidP="00340E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default"/>
    <w:sig w:usb0="00000001" w:usb1="080E0000" w:usb2="00000000" w:usb3="00000000" w:csb0="00040000" w:csb1="00000000"/>
  </w:font>
  <w:font w:name="华文中宋">
    <w:panose1 w:val="02010600040101010101"/>
    <w:charset w:val="86"/>
    <w:family w:val="auto"/>
    <w:pitch w:val="variable"/>
    <w:sig w:usb0="00000287" w:usb1="080F0000" w:usb2="00000010" w:usb3="00000000" w:csb0="0004009F" w:csb1="00000000"/>
  </w:font>
  <w:font w:name="仿宋_GB2312">
    <w:altName w:val="仿宋"/>
    <w:charset w:val="86"/>
    <w:family w:val="modern"/>
    <w:pitch w:val="default"/>
    <w:sig w:usb0="00000001" w:usb1="080E0000" w:usb2="0000000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E21BEFC" w14:textId="77777777" w:rsidR="003E45AA" w:rsidRDefault="003E45AA" w:rsidP="00340E58">
      <w:r>
        <w:separator/>
      </w:r>
    </w:p>
  </w:footnote>
  <w:footnote w:type="continuationSeparator" w:id="0">
    <w:p w14:paraId="14F82E79" w14:textId="77777777" w:rsidR="003E45AA" w:rsidRDefault="003E45AA" w:rsidP="00340E5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69703BB8"/>
    <w:multiLevelType w:val="multilevel"/>
    <w:tmpl w:val="69703BB8"/>
    <w:lvl w:ilvl="0">
      <w:start w:val="1"/>
      <w:numFmt w:val="japaneseCounting"/>
      <w:lvlText w:val="%1、"/>
      <w:lvlJc w:val="left"/>
      <w:pPr>
        <w:ind w:left="1368" w:hanging="720"/>
      </w:pPr>
      <w:rPr>
        <w:rFonts w:hint="default"/>
      </w:rPr>
    </w:lvl>
    <w:lvl w:ilvl="1">
      <w:start w:val="1"/>
      <w:numFmt w:val="lowerLetter"/>
      <w:lvlText w:val="%2)"/>
      <w:lvlJc w:val="left"/>
      <w:pPr>
        <w:ind w:left="1488" w:hanging="420"/>
      </w:pPr>
    </w:lvl>
    <w:lvl w:ilvl="2">
      <w:start w:val="1"/>
      <w:numFmt w:val="lowerRoman"/>
      <w:lvlText w:val="%3."/>
      <w:lvlJc w:val="right"/>
      <w:pPr>
        <w:ind w:left="1908" w:hanging="420"/>
      </w:pPr>
    </w:lvl>
    <w:lvl w:ilvl="3">
      <w:start w:val="1"/>
      <w:numFmt w:val="decimal"/>
      <w:lvlText w:val="%4."/>
      <w:lvlJc w:val="left"/>
      <w:pPr>
        <w:ind w:left="2328" w:hanging="420"/>
      </w:pPr>
    </w:lvl>
    <w:lvl w:ilvl="4">
      <w:start w:val="1"/>
      <w:numFmt w:val="lowerLetter"/>
      <w:lvlText w:val="%5)"/>
      <w:lvlJc w:val="left"/>
      <w:pPr>
        <w:ind w:left="2748" w:hanging="420"/>
      </w:pPr>
    </w:lvl>
    <w:lvl w:ilvl="5">
      <w:start w:val="1"/>
      <w:numFmt w:val="lowerRoman"/>
      <w:lvlText w:val="%6."/>
      <w:lvlJc w:val="right"/>
      <w:pPr>
        <w:ind w:left="3168" w:hanging="420"/>
      </w:pPr>
    </w:lvl>
    <w:lvl w:ilvl="6">
      <w:start w:val="1"/>
      <w:numFmt w:val="decimal"/>
      <w:lvlText w:val="%7."/>
      <w:lvlJc w:val="left"/>
      <w:pPr>
        <w:ind w:left="3588" w:hanging="420"/>
      </w:pPr>
    </w:lvl>
    <w:lvl w:ilvl="7">
      <w:start w:val="1"/>
      <w:numFmt w:val="lowerLetter"/>
      <w:lvlText w:val="%8)"/>
      <w:lvlJc w:val="left"/>
      <w:pPr>
        <w:ind w:left="4008" w:hanging="420"/>
      </w:pPr>
    </w:lvl>
    <w:lvl w:ilvl="8">
      <w:start w:val="1"/>
      <w:numFmt w:val="lowerRoman"/>
      <w:lvlText w:val="%9."/>
      <w:lvlJc w:val="right"/>
      <w:pPr>
        <w:ind w:left="4428"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3604"/>
    <w:rsid w:val="001C7F2C"/>
    <w:rsid w:val="00340E58"/>
    <w:rsid w:val="003E45AA"/>
    <w:rsid w:val="00584481"/>
    <w:rsid w:val="00653C1A"/>
    <w:rsid w:val="007B51CE"/>
    <w:rsid w:val="007E47F4"/>
    <w:rsid w:val="008F0DCE"/>
    <w:rsid w:val="00916058"/>
    <w:rsid w:val="00AB72C1"/>
    <w:rsid w:val="00C10BB4"/>
    <w:rsid w:val="00CE0C6C"/>
    <w:rsid w:val="00DB647F"/>
    <w:rsid w:val="00DC7E33"/>
    <w:rsid w:val="00E8616A"/>
    <w:rsid w:val="00EB36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DE59150"/>
  <w15:chartTrackingRefBased/>
  <w15:docId w15:val="{AB403C91-96A9-4489-9DBC-85D953C40E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40E58"/>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40E58"/>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340E58"/>
    <w:rPr>
      <w:sz w:val="18"/>
      <w:szCs w:val="18"/>
    </w:rPr>
  </w:style>
  <w:style w:type="paragraph" w:styleId="a5">
    <w:name w:val="footer"/>
    <w:basedOn w:val="a"/>
    <w:link w:val="a6"/>
    <w:uiPriority w:val="99"/>
    <w:unhideWhenUsed/>
    <w:rsid w:val="00340E58"/>
    <w:pPr>
      <w:tabs>
        <w:tab w:val="center" w:pos="4153"/>
        <w:tab w:val="right" w:pos="8306"/>
      </w:tabs>
      <w:snapToGrid w:val="0"/>
      <w:jc w:val="left"/>
    </w:pPr>
    <w:rPr>
      <w:sz w:val="18"/>
      <w:szCs w:val="18"/>
    </w:rPr>
  </w:style>
  <w:style w:type="character" w:customStyle="1" w:styleId="a6">
    <w:name w:val="页脚 字符"/>
    <w:basedOn w:val="a0"/>
    <w:link w:val="a5"/>
    <w:uiPriority w:val="99"/>
    <w:rsid w:val="00340E58"/>
    <w:rPr>
      <w:sz w:val="18"/>
      <w:szCs w:val="18"/>
    </w:rPr>
  </w:style>
  <w:style w:type="paragraph" w:styleId="a7">
    <w:name w:val="List Paragraph"/>
    <w:basedOn w:val="a"/>
    <w:uiPriority w:val="34"/>
    <w:qFormat/>
    <w:rsid w:val="00E8616A"/>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no"?>
<Relationships xmlns="http://schemas.openxmlformats.org/package/2006/relationships">
<Relationship Id="rId1" Target="numbering.xml" Type="http://schemas.openxmlformats.org/officeDocument/2006/relationships/numbering"/>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otnotes.xml" Type="http://schemas.openxmlformats.org/officeDocument/2006/relationships/footnotes"/>
<Relationship Id="rId6" Target="endnotes.xml" Type="http://schemas.openxmlformats.org/officeDocument/2006/relationships/endnotes"/>
<Relationship Id="rId7" Target="fontTable.xml" Type="http://schemas.openxmlformats.org/officeDocument/2006/relationships/fontTable"/>
<Relationship Id="rId8" Target="theme/theme1.xml" Type="http://schemas.openxmlformats.org/officeDocument/2006/relationships/them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TotalTime>
  <Pages>2</Pages>
  <Words>51</Words>
  <Characters>293</Characters>
  <Application>Microsoft Office Word</Application>
  <DocSecurity>0</DocSecurity>
  <Lines>2</Lines>
  <Paragraphs>1</Paragraphs>
  <ScaleCrop>false</ScaleCrop>
  <Company/>
  <LinksUpToDate>false</LinksUpToDate>
  <CharactersWithSpaces>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2020-06-04T05:22:00Z</dcterms:created>
  <dc:creator>hongbing liu</dc:creator>
  <cp:lastModifiedBy>liu hongbing</cp:lastModifiedBy>
  <dcterms:modified xsi:type="dcterms:W3CDTF">2020-06-23T16:43:00Z</dcterms:modified>
  <cp:revision>22</cp:revision>
</cp:coreProperties>
</file>