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6344B">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B5488A5">
      <w:pPr>
        <w:spacing w:line="540" w:lineRule="exact"/>
        <w:jc w:val="center"/>
        <w:rPr>
          <w:rFonts w:ascii="方正小标宋_GBK" w:hAnsi="华文中宋" w:eastAsia="方正小标宋_GBK" w:cs="宋体"/>
          <w:b/>
          <w:kern w:val="0"/>
          <w:sz w:val="48"/>
          <w:szCs w:val="48"/>
        </w:rPr>
      </w:pPr>
    </w:p>
    <w:p w14:paraId="0243BEED">
      <w:pPr>
        <w:spacing w:line="540" w:lineRule="exact"/>
        <w:jc w:val="center"/>
        <w:rPr>
          <w:rFonts w:ascii="方正小标宋_GBK" w:hAnsi="华文中宋" w:eastAsia="方正小标宋_GBK" w:cs="宋体"/>
          <w:b/>
          <w:kern w:val="0"/>
          <w:sz w:val="48"/>
          <w:szCs w:val="48"/>
        </w:rPr>
      </w:pPr>
    </w:p>
    <w:p w14:paraId="219D5E6F">
      <w:pPr>
        <w:spacing w:line="540" w:lineRule="exact"/>
        <w:jc w:val="center"/>
        <w:rPr>
          <w:rFonts w:ascii="方正小标宋_GBK" w:hAnsi="华文中宋" w:eastAsia="方正小标宋_GBK" w:cs="宋体"/>
          <w:b/>
          <w:kern w:val="0"/>
          <w:sz w:val="48"/>
          <w:szCs w:val="48"/>
        </w:rPr>
      </w:pPr>
    </w:p>
    <w:p w14:paraId="2A9D055A">
      <w:pPr>
        <w:spacing w:line="540" w:lineRule="exact"/>
        <w:jc w:val="center"/>
        <w:rPr>
          <w:rFonts w:ascii="方正小标宋_GBK" w:hAnsi="华文中宋" w:eastAsia="方正小标宋_GBK" w:cs="宋体"/>
          <w:b/>
          <w:kern w:val="0"/>
          <w:sz w:val="48"/>
          <w:szCs w:val="48"/>
        </w:rPr>
      </w:pPr>
    </w:p>
    <w:p w14:paraId="23DD3CF5">
      <w:pPr>
        <w:spacing w:line="540" w:lineRule="exact"/>
        <w:jc w:val="center"/>
        <w:rPr>
          <w:rFonts w:ascii="方正小标宋_GBK" w:hAnsi="华文中宋" w:eastAsia="方正小标宋_GBK" w:cs="宋体"/>
          <w:b/>
          <w:kern w:val="0"/>
          <w:sz w:val="48"/>
          <w:szCs w:val="48"/>
        </w:rPr>
      </w:pPr>
    </w:p>
    <w:p w14:paraId="18F4A0C3">
      <w:pPr>
        <w:spacing w:line="540" w:lineRule="exact"/>
        <w:jc w:val="center"/>
        <w:rPr>
          <w:rFonts w:ascii="方正小标宋_GBK" w:hAnsi="华文中宋" w:eastAsia="方正小标宋_GBK" w:cs="宋体"/>
          <w:b/>
          <w:kern w:val="0"/>
          <w:sz w:val="48"/>
          <w:szCs w:val="48"/>
        </w:rPr>
      </w:pPr>
    </w:p>
    <w:p w14:paraId="55B92F4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BE0CFF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F08AC64">
      <w:pPr>
        <w:spacing w:line="540" w:lineRule="exact"/>
        <w:jc w:val="center"/>
        <w:rPr>
          <w:rFonts w:ascii="华文中宋" w:hAnsi="华文中宋" w:eastAsia="华文中宋" w:cs="宋体"/>
          <w:b/>
          <w:kern w:val="0"/>
          <w:sz w:val="52"/>
          <w:szCs w:val="52"/>
        </w:rPr>
      </w:pPr>
    </w:p>
    <w:p w14:paraId="73C17CA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CD72027">
      <w:pPr>
        <w:spacing w:line="540" w:lineRule="exact"/>
        <w:jc w:val="center"/>
        <w:rPr>
          <w:rFonts w:hAnsi="宋体" w:eastAsia="仿宋_GB2312" w:cs="宋体"/>
          <w:kern w:val="0"/>
          <w:sz w:val="30"/>
          <w:szCs w:val="30"/>
        </w:rPr>
      </w:pPr>
    </w:p>
    <w:p w14:paraId="5D4040E6">
      <w:pPr>
        <w:spacing w:line="540" w:lineRule="exact"/>
        <w:jc w:val="center"/>
        <w:rPr>
          <w:rFonts w:hAnsi="宋体" w:eastAsia="仿宋_GB2312" w:cs="宋体"/>
          <w:kern w:val="0"/>
          <w:sz w:val="30"/>
          <w:szCs w:val="30"/>
        </w:rPr>
      </w:pPr>
    </w:p>
    <w:p w14:paraId="167A4EBF">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5CC431C3">
      <w:pPr>
        <w:spacing w:line="540" w:lineRule="exact"/>
        <w:jc w:val="center"/>
        <w:rPr>
          <w:rFonts w:hAnsi="宋体" w:eastAsia="仿宋_GB2312" w:cs="宋体"/>
          <w:kern w:val="0"/>
          <w:sz w:val="30"/>
          <w:szCs w:val="30"/>
        </w:rPr>
      </w:pPr>
    </w:p>
    <w:p w14:paraId="35F02F4C">
      <w:pPr>
        <w:spacing w:line="540" w:lineRule="exact"/>
        <w:jc w:val="center"/>
        <w:rPr>
          <w:rFonts w:hAnsi="宋体" w:eastAsia="仿宋_GB2312" w:cs="宋体"/>
          <w:kern w:val="0"/>
          <w:sz w:val="30"/>
          <w:szCs w:val="30"/>
        </w:rPr>
      </w:pPr>
    </w:p>
    <w:p w14:paraId="238647BC">
      <w:pPr>
        <w:spacing w:line="540" w:lineRule="exact"/>
        <w:jc w:val="center"/>
        <w:rPr>
          <w:rFonts w:hAnsi="宋体" w:eastAsia="仿宋_GB2312" w:cs="宋体"/>
          <w:kern w:val="0"/>
          <w:sz w:val="30"/>
          <w:szCs w:val="30"/>
        </w:rPr>
      </w:pPr>
    </w:p>
    <w:p w14:paraId="2876843F">
      <w:pPr>
        <w:spacing w:line="540" w:lineRule="exact"/>
        <w:rPr>
          <w:rFonts w:hAnsi="宋体" w:eastAsia="仿宋_GB2312" w:cs="宋体"/>
          <w:kern w:val="0"/>
          <w:sz w:val="30"/>
          <w:szCs w:val="30"/>
        </w:rPr>
      </w:pPr>
    </w:p>
    <w:p w14:paraId="0989F57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54C5E9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0524810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69ED848D">
      <w:pPr>
        <w:spacing w:line="700" w:lineRule="exact"/>
        <w:jc w:val="left"/>
        <w:rPr>
          <w:rFonts w:hAnsi="宋体" w:eastAsia="仿宋_GB2312" w:cs="宋体"/>
          <w:kern w:val="0"/>
          <w:sz w:val="36"/>
          <w:szCs w:val="36"/>
        </w:rPr>
      </w:pPr>
    </w:p>
    <w:p w14:paraId="372EB501">
      <w:pPr>
        <w:spacing w:line="700" w:lineRule="exact"/>
        <w:jc w:val="left"/>
        <w:rPr>
          <w:rFonts w:hAnsi="宋体" w:eastAsia="仿宋_GB2312" w:cs="宋体"/>
          <w:kern w:val="0"/>
          <w:sz w:val="36"/>
          <w:szCs w:val="36"/>
        </w:rPr>
      </w:pPr>
    </w:p>
    <w:p w14:paraId="359EE8F2">
      <w:pPr>
        <w:spacing w:line="700" w:lineRule="exact"/>
        <w:jc w:val="left"/>
        <w:rPr>
          <w:rFonts w:hAnsi="宋体" w:eastAsia="仿宋_GB2312" w:cs="宋体"/>
          <w:kern w:val="0"/>
          <w:sz w:val="36"/>
          <w:szCs w:val="36"/>
        </w:rPr>
      </w:pPr>
    </w:p>
    <w:p w14:paraId="256DD51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1B9FBAB6">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第一条根据自治区党委、自治区人民政府批准的《伊犁哈萨克自治州机构改革方案》(新党厅字[2019]1号)和自治州党委办公厅、自治州人民政府办公厅印发的《关于〈伊犁哈萨克自治州机构改革方案)的实施意见》(伊州党办发[2019]4号)制定本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第二条伊犁哈萨克自治州商务局(以下简称自治州商务局)是自治州人民政府工作部门。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第三条自治州商务局贯彻落实党中央关于商务工作的方针政策和决策部署以及自治区党委、自治州党委工作要求，在履行职责过程中坚持和加强党对商务工作的集中统一领导。主要职责是: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贯彻执行国家国内外贸易、国际经济合作的发展战略、政策以及自治区国内外贸易、招商引资、对外经济合作、外商投资、对外投资和对外援助的地方性法规、规章和有关政策措施。研究“一带一路”建设、区域经济合作、现代流通方式的发展趋势和流通体制改革并提出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(二)负责推进流通产业结构调整，指导流通企业改革、贸服务业和社区商业发展，提出促进商贸中小企业发展的政策建议，推动流通标准化和连锁经营、商业特许经营、物流配送等现代流通方式的发展。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拟订贸易发展规划、年度计划并组织实施，促进城乡市场发展，执行引导国内外资金投向市场体系建设的政策，指导大宗产品批发市场规划和城市商业网点规划、商业体系建设工作，推进农村市场体系建设，完善农村现代流通网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承担牵头协调整顿和规范市场经济秩序工作的责任。执行落实国家、自治区规范市场运行、流通秩序的政策，推动商务领域诚信体系建设，指导商业信用销售。配合相关部门建立市场诚信公共服务平台，按照有关规定对特殊商贸流通行业进行监督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重要消费品市场调控和重要生产资料流通管理。负责建立健全生活必需品市场供应应急管理机制，参与监测分析市场运行、商品供求状况，调查分析商品价格信息并进行预测预警和信息引导。按分工负责重要消费品储备管理和市场调控工作。按照有关规定对成品油零售环节进行监督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组织实施国家进出口商品、加工贸易管理办法和进出口管理商品、技术目录以及自治区促进外贸增长方式转变的政策，组织实施重要工业品、原材料和重要农产品进出口自治区配额计划，会同有关部门执行大宗进出口商品政策，指导贸易促进活动和外贸促进体系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(七)组织实施国家对外技术贸易、出口管制以及鼓励技术和成套设备进出口的贸易政策，推进地方进出口贸易标准化工作。配合开展依法监督技术引进、设备进口、国家限制出口技术的工作。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(八)牵头拟订服务贸易发展规划并开展相关工作;负责会展业促进与管理工作。会同有关部门制定促进服务出口和服务外包的规划、政策并组织实施，推动服务外包平台建设。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组织实施国家和自治区有关边境贸易的各项政策。负责边境贸易有关经营资质的管理工作。负责边民互市贸易的相关协调工作，推进市场采购贸易方式试点。承担有关周边国家经贸合作地方协调机制的工作。推动协调企业同周边国家及中东欧国家多方面合作交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组织协调反倾销、反补贴、保障措施及其他与进出口公平贸易相关的工作。建立进出口公平贸易及产业损害预警机制。依法参与实施对外贸易调查和产业损害调查，指导协调产业安全应对工作，配合开展国外对自治州出口商品的反倾销、反补贴、保障措施的应诉工作。 (十一)指导外商投资工作。参与拟订地方性外商投资政策并组织实施。依法监督检查外商投资企业执行有关法律、法规、规章、合同章程的情况并协调解决有关问题。指导投资促进及外商投资企业备案登记工作，规范招商引资工作。指导经济技术开发区、边境经济合作区、跨境经贸合作区的有关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二)负责对外经济合作工作。组织实施对外经济合作政策，依法管理和监督对外承包工程、对外劳务合作等。执行我国公民出境就业管理政策，负责协调外派劳务人员和境外就业人员的权益保护工作。落实执行国家、自治区境外投资管理办法和具体政策。负责境内企业对外投资开办企业备案(金融企业除外)管理有关国际无偿援助事务。归口管理对外援助有关事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(十三)制定电子商务发展规划和政策措施并组织实施。指导企业信息化及运用电子商务开拓国内外市场。积极推进电子商务行业统计和评价体系建设，牵头推进电子商务支撑服务体系发展。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四)执行招商引资方针政策，编制招商引资发展规划和年度计划，负责组织、协调、推进跨地区招商引资活动，联系指导各行业及各类开发区的有关招商引资工作。完善招商引资服务体系。负责招商引资信息收集、分析、发布等工作。负责招商引资统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五)负责外省(区、市)人民政府和大型企业驻伊办事机构管理工作。指导商务系统商(协)会的工作。归口管理外省(区、市)在伊各类企业联合会(商会)等社团组织，联系指导驻外办事机构招商引资业务。指导和管理贸易投资促进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(十六)完成自治州党委、自治州人民政府交办的其他任务。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伊犁哈萨克自治州商务局无下属单位预算，下设 6个处室：(一)办公室(人事教育处、离退休干部工作处)，(二)对外贸易处，(三)外资外经处，(四)市场运行和消费促进处，(五)市场建设和流通发展处，(六)招商和投资促进处。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（2）2021年伊犁哈萨克自治州商务局实有在职人员为29人，其中：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行政在职24人（上年25人），同比上年减少1人；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实有离休人员1人（上年1人）,与上年一致。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实有退休人员44人（上年42人）,同比上年增加2人。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驻外招商引资发展项目或驻外招商引资工作计划投入120万元，完成贯彻执行国家国内外贸易、国际经济合作的发展战略政策以及自治区国内外贸易、招商引资、对外经济合作、外商投资、对外投资和对外援助的地方性法规、规章和有关政策措施，达到提升伊犁州经济建设健康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2021年我部门全年预算数为797.39万元，其中：财政拨款为489.41万元。年中追加资金307.98万元，调整率62.93%。对比上年2593.8万元减少1796.41万元，下降69.26%。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2021年实际决算支出775.82万元，执行率97.29%，其中：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580.63万元，占总支出的74.84％，主要用于本部门机构正常运转、完成日常工作任务而发生的各项支出。其中：工资福利支出438.71万元，主要用于在职和离退休人员基本工资、津贴补贴等人员经费。商品和服务支出83.99万元，主要用于办公费、印刷费、水电费、办公设备购置等。对个人和家庭的补助57.93万元，主要用于对个人和家庭的补助主要用于退休人员退休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195.19万元，占总支出的25.16％。其中：1.驻外招商引资专项发展项目安排120万元，主要用于完成驻外招商引资业务发展，2.2021年伊犁州特色地产品展销会项目安排44万元，主要用于完成促进伊犁州地区与内地发展地域经济衔接，有效提升了伊犁地区的经济建设健康发展，主要用于为保障我单位正常运行缴纳物业费 ；4.丝路之光旅游小镇商铺租赁项目安排21.7万元，主要用于开展伊犁地特色产品展销会，促进伊犁地产品经济发展；5.自治州招商引资和项目建设表彰大会会务项目安排6.495万元，主要用于进一步推进驻外招商引资发展业务；6.第二届中国一中东欧国家博览会暨国际消费品博览会项目安排3万元，主要用于进一步加快国家向西开放战略实施,充分展示新疆发展成就,助力新疆丝绸之路经济带核心区建设,稳固脱贫攻坚成果,有效街接乡村振兴,促进共同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（3）本年度重点项目支出120万元，重点支出保障率61.48%。其中重点保障项目是驻外招商引资专项发展项目。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（4）本年度我部门全年政府采购预算52.31万元,实际用于政府采购金额42.91万元，采购执行率82.03%。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本次伊犁哈萨克自治州商务局部门（单位）整体支出绩效自评采用成本效益分析法方法，原因是：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驻外招商引资专项发展项目预算投入120万元，根据州党委安排部署，坚持统筹推进常态化疫情防控和经济社会发展，全力落实“六稳”“六保”任务，加快推进经济高质量发展，充分释放和切实用好社会稳定和疫情防控红利，创造良好的营商环境，力争完成年度招商引资工作任务，通过此项目实施驻外招商引资专项发展项目有效加强同内地经济发达地区的交流合作，促进我州经济向快向好高质量发展；并通过驻外招商引资带动伊犁州就业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2021年伊犁州特色地产品展销会项目预算投入44万元，根据伊犁州经济高质量发展的安排部署，全面贯彻落实商务部组织开展2021年全国消费促进月系列活动的通知精神，抓住春季消费旺季、进一步激发市场活力、释放消费潜力、加速市场回暖、促进消费稳中提质。通过本项目实施，2021年伊犁州特色地产品展销会项目，通过推动参展企业的经济发展，提升伊犁州特色地产品影响力，有效促进伊犁地特色产品知名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③伊犁州商务局物业费专项预算投入30万元，保障我单位正常运转经费，组织开展工作。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④丝路之光旅游小镇商铺租赁项目完成预算投入21.7万元，为保障伊犁州特色产品展销，带动伊犁特色产品经济。</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自治州招商引资和项目建设表彰大会会务项目预算投入6.495万元，通过本项目的实施，推动全州经自治州招商引资和项目建设表彰大会会务项目有效推进招商引资产业高质量发展，济高质量发展，聚力打造“经济强州”做出新的更大的贡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⑥第二届中国一中东欧国家博览会暨国际消费品博览会项目预算投入3万元，通过本项目实施，有效促进第二届中国一中东欧国家博览会暨国际消费品博览会召开，提升伊犁州地产品知名度。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涉及对象：本次评价对象是伊犁哈萨克自治州商务局所有财政资金支出活动。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①基本支出598.19万元，其中：工资福利支出、商品和服务支出、对个人和家庭的补助支出、在职和离退休人员基本工资、津贴补贴等人员经费。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 199.2万元：主要用于：驻外招商引资专项发展项目，2021年伊犁州特色地产品展销会项目，伊犁州商务局物业费专项，丝路之光旅游小镇商铺租赁项目，自治州招商引资和项目建设表彰大会会务项目，第二届中国一中东欧国家博览会暨国际消费品博览会项目。</w:t>
      </w:r>
      <w:bookmarkStart w:id="0" w:name="_Hlk43849111"/>
      <w:bookmarkEnd w:id="0"/>
    </w:p>
    <w:p w14:paraId="0272FC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365C86D3">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严格按照财政部门预算编制与预算调整的工作要求，在预算编制、分配依据充分的条件下，切实做好“先定目标再编预算”，确保预算分配结果合理。同时按照政府信息公开有关规定要求，部门预算及绩效目标在伊犁州人民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伊犁州商务局《政府采购预算编制》相关规定和伊犁州商务局《政府采购预算编制》规定流程，资金支出按照我内控体系中设定的流程申报审批进行；项目支出属于政府采购的，按照伊犁州商务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598.19万元，实际到位598.19万元,实际支出580.63万元，占总支出的77.10％，其中：工资福利支出438.71万元、商品和服务支出101.55万元、对个人和家庭的补助57.93万元、主要用于：在职和离退休人员基本工资、津贴补贴、等人员经费支出，办公费、印刷费、水电费、办公设备购置费等及休人员退休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2021年基本支出比上年513.13万元,增加85.06万元，增长16.58%，支出上升的主要原因是：2021年在职人员正常晋升工资福利增加。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2021年一般公共预算“三公”经费数为6.25万元，其中：因公出国（境）费 0万元，公务用车购置 0 万元，公务用车运行费5.75万元，公务接待费0.5万元。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2021年一般公共预算“三公”经费比上年减少 0.1万元，其中：因公出国（境）费增加0万元，主要原因是本年度与上年度均未安排此项支出；公务用车购置费为0，未安排预算；公务用车运行费增加0万元，主要原因是厉行节约控制公用经费支出；公务接待费减少0.1万元，主要原因是特除原因接待次数减少所致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2021年预算安排专项资金199.2万元，实际到位199.2万元,到位率100％,其中:本级安排199.2万元。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195.19万元，占总支出的25.16%，其中2021年专项项目支出比上年万元增加160.19万元，上升457.69%。支出上升的主要原因是2021年我单位增加了专项发展工作资金支出。其中：1.驻外招商引资专项发展项目安排120万元，主要用于完成驻外招商引资业务发展，2.2021年伊犁州特色地产品展销会项目安排44万元，主要用于完成促进伊犁州地区与内地发展地域经济衔接，有效提升了伊犁地区的经济建设健康发展，主要用于为保障我单位正常运行缴纳物业费 ；4. 丝路之光旅游小镇商铺租赁项目安排21.7万元，主要用于开展伊犁地特色产品展销会，促进伊犁地产品经济发展；5. 自治州招商引资和项目建设表彰大会会务项目安排6.495万元，主要用于进一步推进驻外招商引资发展业务；6. 第二届中国一中东欧国家博览会暨国际消费品博览会项目安排3万元，主要用于进一步加快国家向西开放战略实施,充分展示新疆发展成就,助力新疆丝绸之路经济带核心区建设,稳固脱贫攻坚成果,有效街接乡村振兴,促进共同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为规范专项资金使用，提高专项资金使用效益，我部门主要采取四项措施。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驻外招商引资发展专项实施方案》，《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（2）建立伊犁州驻外招商引资发展专项专项资金专帐，做到有据可依，有据可查。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（3）制订了伊犁州驻外招商引资发展专项项目实施方案，确保项目伊犁州驻外招商引资发展专项有效顺利进行开展。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（4）认真组织伊犁州驻外招商引资发展专项项目验收，确保确保实施落到实处。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专项资金涉及政府采购项目的，按照《政府采购与招标管理办法》组织人员制定采购计划，按照财政局采购部门批复，进行公开招标、邀请招标等方式进行。</w:t>
      </w:r>
    </w:p>
    <w:p w14:paraId="705DABC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22CF3CBA">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部门下发的伊犁州驻外招商引资发展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一是对伊犁州驻外招商引资发展专项项目预算执行情况进行分析，再考察专项项目产出、项目目标的实现程度和管理有效性，从而总结项目取得的业绩和经验，发现项目存在的不足之处。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截止12月24日，该专项均按照时间计划保质、保量完成。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2021年涉及专项资金199.2万元，实际到位199.2 万元，资金到位率100%。截止到2021年12月24日执行195.19万元，执行率97.99%。其中：2021年结转专项资金0万元，实际执行0万元，执行率为0%；2021年新增专项资金199.2万元，实际执行195.19万元，执行率为97.99%。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我部门严格执行招商引资工作领导小组办公室组织驻外招商分局成员召3次开资金使用办法研讨会，制定《伊犁州驻外招商分局近期工作方案</w:t>
      </w:r>
      <w:r>
        <w:rPr>
          <w:rFonts w:hint="eastAsia" w:ascii="仿宋_GB2312" w:hAnsi="宋体" w:eastAsia="仿宋_GB2312"/>
          <w:b/>
          <w:sz w:val="32"/>
          <w:szCs w:val="32"/>
          <w:lang w:eastAsia="zh-CN"/>
        </w:rPr>
        <w:t>（征求意见稿）》</w:t>
      </w:r>
      <w:r>
        <w:rPr>
          <w:rFonts w:hint="eastAsia" w:ascii="仿宋_GB2312" w:hAnsi="宋体" w:eastAsia="仿宋_GB2312"/>
          <w:b/>
          <w:sz w:val="32"/>
          <w:szCs w:val="32"/>
        </w:rPr>
        <w:t>、审议修订《自治州驻外招商机构管理办法》，在原有招商分局基础上形成《关于新增驻点招商分局的请示》由招商引资工作领导小组办公室审核后报州党委审批通过。经评估和研讨，分局相关工作开展，为党委政府对招商引资工作决策提供依据，同时资金使用能够对驻外招商引资工作起到很好激励保障作用。【2021】《关于要求拨付招商接待活动经费的答复》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商务局，根据2021年6个项目的绩效目标及工作内容，将其细化分工至本单位6个处室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伊犁州商务局，实施的6个项目，由相关业务处室指派专人进行全过程跟踪管理，处室负责人统筹推进项目实施，部门单位领导不定期对项目进度进行调度，并对项目质量进行控制。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招商处从项目实施方案、项目预算、项目建设进度、项目成本、项目验收等环节，全过程对项目进行监管，并向本部门主要领导报告，以推进项目建设和提高项目质量，以发挥资金使用效益。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商务局，所涉及专项项目均已于专项资金下达后按照资金文件及绩效管理要求设置《项目绩效目标表》。6个专项项目预算总额为199.2万元，在项目实施过程中，业务人员加强项目管理，合理控制项目成本，截止项目结束，6个项目总成本为195.19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伊犁州商务局，所涉及专项项目使用资金比专项项目总预算减少4.01万元，项目节约率为2.01%。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商务局共涉及专项项目6个，截止到2021年底，通过专项项目实施过程中的有效监督，我单位按预期完成了6个专项的各项专项任务（或已完成专项项目数量0个，未完成专项项目数量0个），项目总体完成率为95.78%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6个专项项目完成质量情况如下：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驻外招商引资专项发展项目完成，根据州党委安排部署，坚持统筹推进常态化疫情防控和经济社会发展，全力落实“六稳”“六保”任务，加快推进经济高质量发展，充分释放和切实用好社会稳定和疫情防控红利，创造良好的营商环境，力争完成年度招商引资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特色地产品展销会项目完成伊犁州经济高质量发展的安排部署，全面贯彻落实商务部组织开展2021年全国消费促进月系列活动的通知精神，抓住春季消费旺季、进一步激发市场活力、释放消费潜力、加速市场回暖、促进消费稳中提质。由伊犁州人民政府主办的“2021年伊犁州特色地产品展销会”将在伊犁丝路之光旅游小镇举行，项目资金主要用于展会的筹备、策划、组织、实施，包括各展区的设计、制作、搭建，展会的宣传、氛围营造，文艺演出、服装走秀服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（3）伊犁州商务局物业费专项完成，保障我单位正常运转经费，组织开展工作。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（4）丝路之光旅游小镇商铺租赁项目完成，为保障伊犁州特色产品展销，带动伊犁特色产品经济。</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自治州招商引资和项目建设表彰大会会务项目完成6.495万元，在新形势下，根据州党委安排部署，坚持统筹推进常态化疫情防控和经济社会发展，全力落实“六稳”“六保”任务，以受表彰的先进典型为榜样，对标典型、争做榜样，以永不懈怠、激情永驻的精神状态，以只争朝夕、奋发有为的工作状态，继续倾情作为、倾智保障、倾力担当，为推动全州经济高质量发展，聚力打造“经济强州”做出新的更大的贡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第二届中国一中东欧国家博览会暨国际消费品博览会项目完成，深入推动“一带一路”倡议,进一步加快国家向西开放战略实施,充分展示新疆发展成就,助力新疆丝绸之路经济带核心区建设,稳固脱贫攻坚成果,有效街接乡村振兴,促进共同发展。一是积极发挥政府主导作用，引导有意向的企业参会。二是加大宣传力度，通过“中国一中东欧国家博览会暨国际消费品博览会”国际化平台，进一步扩大伊犁知名度。三是强化精准招商，推动经济高质量发展，结合市场需求和展商、商品情况，借助大数据分析、与专业机构联运等方式，寻找商机，发挥伊犁州外向型优势，进一步提高本次参会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1、驻外招商引资专项发展项目有效加强同内地经济发达地区的交流合作，促进我州经济向快向好高质量发展；并通过驻外招商引资带动伊犁州就业环境。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2、2021年伊犁州特色地产品展销会项目，通过推动参展企业的经济发展，提升伊犁州特色地产品影响力。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3、伊犁州商务局物业费专项有效保障本单位办公正常运行。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4、丝路之光旅游小镇商铺租赁项目有效提升伊犁特色产品知名度，加强伊犁特色产品的营销，推动伊犁地区经济健康发展。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5、自治州招商引资和项目建设表彰大会会务项目有效推进招商引资产业高质量发展。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6、第二届中国一中东欧国家博览会暨国际消费品博览会项目有效提升伊犁州地产品知名度。</w:t>
      </w:r>
    </w:p>
    <w:p w14:paraId="76A6A36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2BDE378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资产总额2079万元，其中流动资产985.87万元，固定资产净值1093.14万元（其中：土地、房屋及构筑物1028.32万元，占固定资产净值的94.07%；通用设备49.36万元，占固定资产净值的4.6%；专用设备0万元，占固定资产净值的0%；其他家具15.46万元，占固定资产净值的1.42%；。</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本年度流动资产985.87万元，比上年减少1048.26万元，原因是：驻外招商引资专项资金减少。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本年度固定资产1093.14万元，比上年减少756.28万元，原因是：固定资产折旧额增加 。</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实际在用固定资产1093.14万元，固定资产利用率100%。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0B4450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4E07AB5D">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2021年度我单位年初预算安排489.41万元，年中调整307.98万元，截止12月底支出775.82万元，执行率97.29%。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自治区商务厅的大力支持和伊犁州党委政府的正确领导下，我部门迎难而上、务实重干，积极推动各项专项工作取得了新的进展，为促进经济持续健康发展与社会和谐稳定提供了有力的带动了各项专项工作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1、圆满完成驻外招商引资及开展展览会等各项工作；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各项展览会议专项工作任务提前完成；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各项展览会议专项工作成效显著；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各项展览会议专项工作全面达标，群众满意度高。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2021年部门支出的有效性主要体现在我部门各项工作成效上，一是2021年驻外招商引资专项工作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各项展览会议专项进一步夯实，二是2021年驻外招商引资专项工作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各项展览会议专项能力进一步提升，三是2021年驻外招商引资专项工作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各项展览会议专项进一步改善，四是2021年驻外招商引资专项工作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各项展览会议专项进一步提高，五是2021年驻外招商引资专项工作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各项展览会议专项进一步推进，七是2021年驻外招商引资专项工作</w:t>
      </w:r>
      <w:r>
        <w:rPr>
          <w:rFonts w:hint="eastAsia" w:ascii="仿宋_GB2312" w:hAnsi="宋体" w:eastAsia="仿宋_GB2312"/>
          <w:b/>
          <w:sz w:val="32"/>
          <w:szCs w:val="32"/>
          <w:lang w:eastAsia="zh-CN"/>
        </w:rPr>
        <w:t>及</w:t>
      </w:r>
      <w:r>
        <w:rPr>
          <w:rFonts w:hint="eastAsia" w:ascii="仿宋_GB2312" w:hAnsi="宋体" w:eastAsia="仿宋_GB2312"/>
          <w:b/>
          <w:sz w:val="32"/>
          <w:szCs w:val="32"/>
        </w:rPr>
        <w:t>各项展览会议专项水平进一步增强，详细情况如下：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伊犁州商务局部门单位整体绩效目标共设置一级指标3 个，二级指标6个，三级指标7个，详细说明如下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指标1：保障在职人员人数，指标值：=30人 ，实际完成值：30人，指标完成率100%；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 ，实际完成值：100%，指标完成率100%；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 ，指标值：=100% ，实际完成值：100%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指标1：人均运转经费数，指标值：&lt;=1.93万元，实际完成值：1.8万元，指标完成率93.26%；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指标2：人均支出标准，指标值：&lt;=14.39万元，实际完成值：13.48万元，指标完成率93.68%；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w:t>
      </w:r>
      <w:r>
        <w:rPr>
          <w:rFonts w:hint="eastAsia" w:ascii="仿宋_GB2312" w:hAnsi="宋体" w:eastAsia="仿宋_GB2312"/>
          <w:b/>
          <w:sz w:val="32"/>
          <w:szCs w:val="32"/>
          <w:lang w:eastAsia="zh-CN"/>
        </w:rPr>
        <w:t>健</w:t>
      </w:r>
      <w:r>
        <w:rPr>
          <w:rFonts w:hint="eastAsia" w:ascii="仿宋_GB2312" w:hAnsi="宋体" w:eastAsia="仿宋_GB2312"/>
          <w:b/>
          <w:sz w:val="32"/>
          <w:szCs w:val="32"/>
        </w:rPr>
        <w:t>全生活必需品市场供应应急管理机制，指标值：有效健全，实际完成值：有效健全，指标完成率100%；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指标1：职工满意度，指标值：&gt;=95%，实际完成值：99.67% ，指标完成率104.92%；</w:t>
      </w:r>
    </w:p>
    <w:p w14:paraId="607B2CB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0720A3A8">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六、存在的主要问题</w:t>
      </w:r>
      <w:r>
        <w:rPr>
          <w:rFonts w:hint="eastAsia" w:ascii="仿宋_GB2312" w:hAnsi="宋体" w:eastAsia="仿宋_GB2312"/>
          <w:b/>
          <w:sz w:val="32"/>
          <w:szCs w:val="32"/>
        </w:rPr>
        <w:br w:type="textWrapping"/>
      </w:r>
      <w:r>
        <w:rPr>
          <w:rFonts w:hint="eastAsia" w:ascii="仿宋_GB2312" w:hAnsi="宋体" w:eastAsia="仿宋_GB2312"/>
          <w:b/>
          <w:sz w:val="32"/>
          <w:szCs w:val="32"/>
        </w:rPr>
        <w:t>（一）项目人员、财务人员项目绩效工作认识不统一，沟通不及时。</w:t>
      </w:r>
      <w:r>
        <w:rPr>
          <w:rFonts w:hint="eastAsia" w:ascii="仿宋_GB2312" w:hAnsi="宋体" w:eastAsia="仿宋_GB2312"/>
          <w:b/>
          <w:sz w:val="32"/>
          <w:szCs w:val="32"/>
        </w:rPr>
        <w:br w:type="textWrapping"/>
      </w:r>
      <w:r>
        <w:rPr>
          <w:rFonts w:hint="eastAsia" w:ascii="仿宋_GB2312" w:hAnsi="宋体" w:eastAsia="仿宋_GB2312"/>
          <w:b/>
          <w:sz w:val="32"/>
          <w:szCs w:val="32"/>
        </w:rPr>
        <w:t>（二）项目绩效业务水平不高，填报标准把握不准。</w:t>
      </w:r>
    </w:p>
    <w:p w14:paraId="6955B5B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30252B0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七、改进措施和建议</w:t>
      </w:r>
      <w:r>
        <w:rPr>
          <w:rFonts w:hint="eastAsia" w:ascii="仿宋_GB2312" w:hAnsi="宋体" w:eastAsia="仿宋_GB2312"/>
          <w:b/>
          <w:sz w:val="32"/>
          <w:szCs w:val="32"/>
        </w:rPr>
        <w:br w:type="textWrapping"/>
      </w: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1、加强项目负责人员和财务人员的沟通，建立良好的沟通机制，统一思想认识，共同做好项目绩效工作。</w:t>
      </w:r>
      <w:r>
        <w:rPr>
          <w:rFonts w:hint="eastAsia" w:ascii="仿宋_GB2312" w:hAnsi="宋体" w:eastAsia="仿宋_GB2312"/>
          <w:b/>
          <w:sz w:val="32"/>
          <w:szCs w:val="32"/>
        </w:rPr>
        <w:br w:type="textWrapping"/>
      </w:r>
      <w:r>
        <w:rPr>
          <w:rFonts w:hint="eastAsia" w:ascii="仿宋_GB2312" w:hAnsi="宋体" w:eastAsia="仿宋_GB2312"/>
          <w:b/>
          <w:sz w:val="32"/>
          <w:szCs w:val="32"/>
        </w:rPr>
        <w:t>2、加强项目绩效业务知识学习，真正了解项目绩效工作实质，准确填报相关信息，促进相关工作同步进行</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1.车辆运行维护费为刚性支出，希望能根据各单位实际情况给予增长车辆运行维护费；</w:t>
      </w:r>
      <w:r>
        <w:rPr>
          <w:rFonts w:hint="eastAsia" w:ascii="仿宋_GB2312" w:hAnsi="宋体" w:eastAsia="仿宋_GB2312"/>
          <w:b/>
          <w:sz w:val="32"/>
          <w:szCs w:val="32"/>
        </w:rPr>
        <w:br w:type="textWrapping"/>
      </w:r>
      <w:r>
        <w:rPr>
          <w:rFonts w:hint="eastAsia" w:ascii="仿宋_GB2312" w:hAnsi="宋体" w:eastAsia="仿宋_GB2312"/>
          <w:b/>
          <w:sz w:val="32"/>
          <w:szCs w:val="32"/>
        </w:rPr>
        <w:t>2.选取切实可行、操作性较强的考核指标，建立考核指标的标准模板。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3.加强资金使用部门对绩效评价工作的认识和重视程度，并将评价结果运用于工作始终。</w:t>
      </w:r>
      <w:r>
        <w:rPr>
          <w:rFonts w:hint="eastAsia" w:ascii="仿宋_GB2312" w:hAnsi="宋体" w:eastAsia="仿宋_GB2312"/>
          <w:b/>
          <w:sz w:val="32"/>
          <w:szCs w:val="32"/>
        </w:rPr>
        <w:br w:type="textWrapping"/>
      </w:r>
      <w:r>
        <w:rPr>
          <w:rFonts w:hint="eastAsia" w:ascii="仿宋_GB2312" w:hAnsi="宋体" w:eastAsia="仿宋_GB2312"/>
          <w:b/>
          <w:sz w:val="32"/>
          <w:szCs w:val="32"/>
        </w:rPr>
        <w:t>4.同时做好项目实施管理与资金使用的匹配，根据项目实施计划，制定出科学合理的资金计划，不断提高资金使用效率</w:t>
      </w:r>
    </w:p>
    <w:p w14:paraId="73EEE43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30402C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B7B56EF"/>
    <w:rsid w:val="39BE4086"/>
    <w:rsid w:val="56007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11035</Words>
  <Characters>11666</Characters>
  <Lines>2</Lines>
  <Paragraphs>1</Paragraphs>
  <TotalTime>12</TotalTime>
  <ScaleCrop>false</ScaleCrop>
  <LinksUpToDate>false</LinksUpToDate>
  <CharactersWithSpaces>11713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2025-05-27T11:20:26Z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6BA14B35F0D24548B3EECC8F557B167B</vt:lpwstr>
  </property>
  <property fmtid="{D5CDD505-2E9C-101B-9397-08002B2CF9AE}" pid="4" name="KSOTemplateDocerSaveRecord">
    <vt:lpwstr>eyJoZGlkIjoiZTJlNDBmZDg4NzQzM2UxZWE4MWMzYTNmYjU4NjJhMzkiLCJ1c2VySWQiOiIzODc1NDM2MTYifQ==</vt:lpwstr>
  </property>
</Properties>
</file>