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75B3F9" w14:textId="77777777" w:rsidR="00340E58" w:rsidRDefault="00340E58" w:rsidP="00340E58">
      <w:pPr>
        <w:widowControl/>
        <w:jc w:val="left"/>
        <w:rPr>
          <w:rFonts w:ascii="黑体" w:eastAsia="黑体" w:hAnsi="黑体" w:cs="宋体"/>
          <w:color w:val="333333"/>
          <w:sz w:val="32"/>
          <w:szCs w:val="32"/>
          <w:lang w:bidi="ar"/>
        </w:rPr>
      </w:pPr>
      <w:r>
        <w:rPr>
          <w:rFonts w:ascii="黑体" w:eastAsia="黑体" w:hAnsi="黑体" w:cs="宋体" w:hint="eastAsia"/>
          <w:color w:val="333333"/>
          <w:sz w:val="32"/>
          <w:szCs w:val="32"/>
          <w:lang w:bidi="ar"/>
        </w:rPr>
        <w:t>附件4：</w:t>
      </w:r>
    </w:p>
    <w:p w14:paraId="2B86372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56FE3831"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1BEA10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393401E7"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B39C0AE"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1A18AD0"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D56F87E"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自治区本级部门单位整体支出绩效</w:t>
      </w:r>
    </w:p>
    <w:p w14:paraId="0C87FD0D"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自评报告</w:t>
      </w:r>
    </w:p>
    <w:p w14:paraId="58039830" w14:textId="77777777" w:rsidR="00340E58" w:rsidRDefault="00340E58" w:rsidP="00340E58">
      <w:pPr>
        <w:spacing w:line="540" w:lineRule="exact"/>
        <w:jc w:val="center"/>
        <w:rPr>
          <w:rFonts w:ascii="华文中宋" w:eastAsia="华文中宋" w:hAnsi="华文中宋" w:cs="宋体"/>
          <w:b/>
          <w:kern w:val="0"/>
          <w:sz w:val="52"/>
          <w:szCs w:val="52"/>
        </w:rPr>
      </w:pPr>
    </w:p>
    <w:p w14:paraId="1CF259AF" w14:textId="1D2CF3A4" w:rsidR="00340E58" w:rsidRDefault="00340E58" w:rsidP="00340E58">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sidR="00584481" w:rsidRPr="00E8616A">
        <w:rPr>
          <w:rFonts w:ascii="仿宋_GB2312" w:eastAsia="仿宋_GB2312" w:hAnsi="宋体" w:hint="eastAsia"/>
          <w:b/>
          <w:sz w:val="32"/>
          <w:szCs w:val="32"/>
        </w:rPr>
        <w:t>2021</w:t>
      </w:r>
      <w:proofErr w:type="spellStart"/>
      <w:proofErr w:type="spellEnd"/>
      <w:r>
        <w:rPr>
          <w:rFonts w:eastAsia="仿宋_GB2312" w:hAnsi="宋体" w:cs="宋体" w:hint="eastAsia"/>
          <w:kern w:val="0"/>
          <w:sz w:val="36"/>
          <w:szCs w:val="36"/>
        </w:rPr>
        <w:t>年度）</w:t>
      </w:r>
    </w:p>
    <w:p w14:paraId="186745CD" w14:textId="77777777" w:rsidR="00340E58" w:rsidRDefault="00340E58" w:rsidP="00340E58">
      <w:pPr>
        <w:spacing w:line="540" w:lineRule="exact"/>
        <w:jc w:val="center"/>
        <w:rPr>
          <w:rFonts w:eastAsia="仿宋_GB2312" w:hAnsi="宋体" w:cs="宋体"/>
          <w:kern w:val="0"/>
          <w:sz w:val="30"/>
          <w:szCs w:val="30"/>
        </w:rPr>
      </w:pPr>
    </w:p>
    <w:p w14:paraId="4CED77EE" w14:textId="77777777" w:rsidR="00340E58" w:rsidRPr="00653C1A" w:rsidRDefault="00340E58" w:rsidP="00340E58">
      <w:pPr>
        <w:spacing w:line="540" w:lineRule="exact"/>
        <w:jc w:val="center"/>
        <w:rPr>
          <w:rFonts w:eastAsia="仿宋_GB2312" w:hAnsi="宋体" w:cs="宋体"/>
          <w:kern w:val="0"/>
          <w:sz w:val="30"/>
          <w:szCs w:val="30"/>
        </w:rPr>
      </w:pPr>
    </w:p>
    <w:p w14:paraId="4D1EB09D" w14:textId="77777777" w:rsidR="00340E58" w:rsidRDefault="00340E58" w:rsidP="00340E58">
      <w:pPr>
        <w:spacing w:line="54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参考模板</w:t>
      </w:r>
    </w:p>
    <w:p w14:paraId="2D6A57FE" w14:textId="77777777" w:rsidR="00340E58" w:rsidRDefault="00340E58" w:rsidP="00340E58">
      <w:pPr>
        <w:spacing w:line="540" w:lineRule="exact"/>
        <w:jc w:val="center"/>
        <w:rPr>
          <w:rFonts w:eastAsia="仿宋_GB2312" w:hAnsi="宋体" w:cs="宋体"/>
          <w:kern w:val="0"/>
          <w:sz w:val="30"/>
          <w:szCs w:val="30"/>
        </w:rPr>
      </w:pPr>
    </w:p>
    <w:p w14:paraId="63BE86C2" w14:textId="77777777" w:rsidR="00340E58" w:rsidRDefault="00340E58" w:rsidP="00340E58">
      <w:pPr>
        <w:spacing w:line="540" w:lineRule="exact"/>
        <w:jc w:val="center"/>
        <w:rPr>
          <w:rFonts w:eastAsia="仿宋_GB2312" w:hAnsi="宋体" w:cs="宋体"/>
          <w:kern w:val="0"/>
          <w:sz w:val="30"/>
          <w:szCs w:val="30"/>
        </w:rPr>
      </w:pPr>
    </w:p>
    <w:p w14:paraId="1F44B85D" w14:textId="77777777" w:rsidR="00340E58" w:rsidRDefault="00340E58" w:rsidP="00340E58">
      <w:pPr>
        <w:spacing w:line="540" w:lineRule="exact"/>
        <w:jc w:val="center"/>
        <w:rPr>
          <w:rFonts w:eastAsia="仿宋_GB2312" w:hAnsi="宋体" w:cs="宋体"/>
          <w:kern w:val="0"/>
          <w:sz w:val="30"/>
          <w:szCs w:val="30"/>
        </w:rPr>
      </w:pPr>
    </w:p>
    <w:p w14:paraId="2A61933D" w14:textId="77777777" w:rsidR="00340E58" w:rsidRDefault="00340E58" w:rsidP="00340E58">
      <w:pPr>
        <w:spacing w:line="540" w:lineRule="exact"/>
        <w:rPr>
          <w:rFonts w:eastAsia="仿宋_GB2312" w:hAnsi="宋体" w:cs="宋体"/>
          <w:kern w:val="0"/>
          <w:sz w:val="30"/>
          <w:szCs w:val="30"/>
        </w:rPr>
      </w:pPr>
    </w:p>
    <w:p w14:paraId="7C5A61A0" w14:textId="77777777" w:rsidR="00340E58" w:rsidRDefault="00340E58" w:rsidP="00340E58">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3260287E"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部门单位名称（公章）：</w:t>
      </w:r>
    </w:p>
    <w:p w14:paraId="2DFE3CDF"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填报时间：</w:t>
      </w:r>
      <w:r>
        <w:rPr>
          <w:rFonts w:eastAsia="仿宋_GB2312" w:hAnsi="宋体" w:cs="宋体" w:hint="eastAsia"/>
          <w:kern w:val="0"/>
          <w:sz w:val="36"/>
          <w:szCs w:val="36"/>
        </w:rPr>
        <w:t xml:space="preserve">     </w:t>
      </w:r>
      <w:r>
        <w:rPr>
          <w:rFonts w:eastAsia="仿宋_GB2312" w:hAnsi="宋体" w:cs="宋体" w:hint="eastAsia"/>
          <w:kern w:val="0"/>
          <w:sz w:val="36"/>
          <w:szCs w:val="36"/>
        </w:rPr>
        <w:t>年</w:t>
      </w:r>
      <w:r>
        <w:rPr>
          <w:rFonts w:eastAsia="仿宋_GB2312" w:hAnsi="宋体" w:cs="宋体" w:hint="eastAsia"/>
          <w:kern w:val="0"/>
          <w:sz w:val="36"/>
          <w:szCs w:val="36"/>
        </w:rPr>
        <w:t xml:space="preserve">     </w:t>
      </w:r>
      <w:r>
        <w:rPr>
          <w:rFonts w:eastAsia="仿宋_GB2312" w:hAnsi="宋体" w:cs="宋体" w:hint="eastAsia"/>
          <w:kern w:val="0"/>
          <w:sz w:val="36"/>
          <w:szCs w:val="36"/>
        </w:rPr>
        <w:t>月</w:t>
      </w:r>
      <w:r>
        <w:rPr>
          <w:rFonts w:eastAsia="仿宋_GB2312" w:hAnsi="宋体" w:cs="宋体" w:hint="eastAsia"/>
          <w:kern w:val="0"/>
          <w:sz w:val="36"/>
          <w:szCs w:val="36"/>
        </w:rPr>
        <w:t xml:space="preserve">     </w:t>
      </w:r>
      <w:r>
        <w:rPr>
          <w:rFonts w:eastAsia="仿宋_GB2312" w:hAnsi="宋体" w:cs="宋体" w:hint="eastAsia"/>
          <w:kern w:val="0"/>
          <w:sz w:val="36"/>
          <w:szCs w:val="36"/>
        </w:rPr>
        <w:t>日</w:t>
      </w:r>
    </w:p>
    <w:p w14:paraId="0D71FB5A" w14:textId="4CFF04A3" w:rsidR="00340E58" w:rsidRDefault="00340E58" w:rsidP="00340E58">
      <w:pPr>
        <w:spacing w:line="700" w:lineRule="exact"/>
        <w:jc w:val="left"/>
        <w:rPr>
          <w:rFonts w:eastAsia="仿宋_GB2312" w:hAnsi="宋体" w:cs="宋体"/>
          <w:kern w:val="0"/>
          <w:sz w:val="36"/>
          <w:szCs w:val="36"/>
        </w:rPr>
      </w:pPr>
    </w:p>
    <w:p w14:paraId="6E61B129" w14:textId="34D66AD4" w:rsidR="001C7F2C" w:rsidRDefault="001C7F2C" w:rsidP="00340E58">
      <w:pPr>
        <w:spacing w:line="700" w:lineRule="exact"/>
        <w:jc w:val="left"/>
        <w:rPr>
          <w:rFonts w:eastAsia="仿宋_GB2312" w:hAnsi="宋体" w:cs="宋体"/>
          <w:kern w:val="0"/>
          <w:sz w:val="36"/>
          <w:szCs w:val="36"/>
        </w:rPr>
      </w:pPr>
    </w:p>
    <w:p w14:paraId="20CD2773" w14:textId="77777777" w:rsidR="001C7F2C" w:rsidRDefault="001C7F2C" w:rsidP="00340E58">
      <w:pPr>
        <w:spacing w:line="700" w:lineRule="exact"/>
        <w:jc w:val="left"/>
        <w:rPr>
          <w:rFonts w:eastAsia="仿宋_GB2312" w:hAnsi="宋体" w:cs="宋体"/>
          <w:kern w:val="0"/>
          <w:sz w:val="36"/>
          <w:szCs w:val="36"/>
        </w:rPr>
      </w:pPr>
    </w:p>
    <w:p w14:paraId="68C451FB" w14:textId="03C88F19"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基本概况</w:t>
      </w:r>
    </w:p>
    <w:p w14:paraId="40265AFE" w14:textId="0AADA328" w:rsidR="00E8616A" w:rsidRPr="007E47F4" w:rsidRDefault="00E8616A" w:rsidP="007E47F4">
      <w:pPr>
        <w:spacing w:line="600" w:lineRule="exact"/>
        <w:ind w:left="648" w:firstLineChars="200" w:firstLine="643"/>
        <w:jc w:val="left"/>
        <w:rPr>
          <w:rFonts w:ascii="仿宋_GB2312" w:eastAsia="仿宋_GB2312" w:hAnsi="宋体" w:hint="eastAsia"/>
          <w:b/>
          <w:sz w:val="32"/>
          <w:szCs w:val="32"/>
        </w:rPr>
      </w:pPr>
      <w:r w:rsidRPr="00E8616A">
        <w:rPr>
          <w:rFonts w:ascii="仿宋_GB2312" w:eastAsia="仿宋_GB2312" w:hAnsi="宋体" w:hint="eastAsia"/>
          <w:b/>
          <w:sz w:val="32"/>
          <w:szCs w:val="32"/>
        </w:rPr>
        <w:t>（一）部门单位基本情况</w:t>
        <w:br/>
        <w:t>1、主要职能</w:t>
        <w:br/>
        <w:t>1、对辖区内有关单位和个人执行《动物防疫法》及有关动 物卫生法律、法规、规章的情况进行监督、检查和管理，纠正和处理违反动物卫生法律、法规和规章的行为，决定动物卫生监督处理、处罚；</w:t>
        <w:br/>
        <w:t>2、负责动物和动物产品的检疫；</w:t>
        <w:br/>
        <w:t>3、负责有关检疫证明、检疫标志发放和管理；</w:t>
        <w:br/>
        <w:t>4、负责动物诊疗监管和执业兽医的监督管理；</w:t>
        <w:br/>
        <w:t>5、负责畜禽标识和免疫档案的监督管理；</w:t>
        <w:br/>
        <w:t>6、承担兽医实验室及菌毒种保存场所生物安全的监督管理；</w:t>
        <w:br/>
        <w:t>7、负责兽药的监督管理；</w:t>
        <w:br/>
        <w:t>8、承担动物产品安全的监督管理；</w:t>
        <w:br/>
        <w:t>9、负责其它动物卫生监督管理工作</w:t>
        <w:br/>
        <w:t></w:t>
        <w:br/>
        <w:t></w:t>
        <w:br/>
        <w:t>2、机构人员构成</w:t>
        <w:br/>
        <w:t>（1）组织机构设置：</w:t>
        <w:br/>
        <w:t>伊犁哈萨克自治州动物卫生监督所单位无下属预算单位，下设6个科室，分别是：办公室、防疫监督科、防疫检疫科、畜产品兽药监督科、公路动物卫生监督检查科、霍尔果斯口岸检疫所。</w:t>
        <w:br/>
        <w:t></w:t>
        <w:br/>
        <w:t>（2）2021年伊利州动物卫生监督所实有在职人员为24人，其中：</w:t>
        <w:br/>
        <w:t>行政在职24人（上年33人），同比上年减少9人；</w:t>
        <w:br/>
        <w:t>实有离休人员0人（上年0人）,同比上年增加 0人。</w:t>
        <w:br/>
        <w:t>实有退休人员41人（上年40人）,同比上年增加1人。</w:t>
        <w:br/>
        <w:t>3、重点工作计划</w:t>
        <w:br/>
        <w:t>1、认真落实“3+1”工作目标，督促县市规范动物卫生监督所，确保编制、人员到位。开展官方兽医培训，规范动物检疫工作，确保官方兽医熟练掌握优化升级动物检疫电子出证系统。开展防疫工作服务指导，抓动物强制免疫工作的落实。做好动物检疫证章标识的管理工作，及时订购发放，为动物及动物产品的调运提供保障。确保畜牧业高质量发展。动物检疫标识采购项目，计划投入90万元实际完成54.5万元，达到采购动物检疫标识数量。</w:t>
        <w:br/>
        <w:t>2、保障部门单位人员发放工资福利支出工作，计划投入319.53万元，实际完成296.46万元，达到预期目标</w:t>
        <w:br/>
        <w:t>3、进一步加强我州动物卫生服务指导工作，巩固重大动物疫病防控成果，加强动物检疫监督管理，保障动物产地检疫、屠宰检疫工作顺利开展，确保州直畜产品质量安全工作，计划投入39.77万元，达到预期工作目标。</w:t>
        <w:br/>
        <w:t>（二）部门单位整体支出规模、使用方法和主要内容、涉及对象及范围等</w:t>
        <w:br/>
        <w:t>1、部门单位整体支出规模</w:t>
        <w:br/>
        <w:t>2021年我单位全年预算数为668.02 万元，其中：年初批复的财政拨款为449.3  万元.年中追加218.72万元，调整率48.68%。对比上年 631.73 万元增加36.29 万元，增长5.74%。</w:t>
        <w:br/>
        <w:t>2021年实际决算支出628.46万元，执行率94.08%，其中：</w:t>
        <w:br/>
        <w:t>（1）基本支出378.02 万元，占总支出的60.15％，主要用于本单位机构正常运转、完成日常工作任务而发生的各项支出。其中：工资福利支出335.73万元，主要用于在职和离退休人员基本工资、津贴补贴等人员经费。商品和服务支出27.23万元，主要用于办公费、印刷费、水电费、办公设备购置等。对个人和家庭的补助15.06万元，主要用于41退休人员及遗属费用。。  </w:t>
        <w:br/>
        <w:t>（2）项目支出  250.44  万元，占总支出的39.85％。其中：中央动物防疫补助项目安排  5 万元，主要用于完成动物防疫工作，自治区动物防疫补助项目安排 41.95 万元，主要用于完成动物防疫工作，动物检疫标识采购项目安排  54.5  万元，主要用于完成动物标识采购，办公楼改造项目安排148.99 万元，主要用于完成办公楼改造维修。</w:t>
        <w:br/>
        <w:t>（3）本年度重点项目支出 148.99 万元，重点支出保障率59.49%。其中重点保障项目是办公楼改造项目。</w:t>
        <w:br/>
        <w:t>（4）本年度我单位全年政府采购预算246.6万元,实际用于政府采购金额 207.09 万元，采购执行率83.98 %</w:t>
        <w:br/>
        <w:t>2、整体支出评价使用方法和主要内容、涉及对象及范围等</w:t>
        <w:br/>
        <w:t>（1）整体支出评价使用方法</w:t>
        <w:br/>
        <w:t>本次单位整体支出绩效自评采用成本效益方法，原因是：①中央动物防疫补助完成强制免疫密度达到90%，平均抗体合格率常年保持70%以上强制扑杀补助率应补尽补，②自治区动物防疫补助（项目名称）完成春季重大动物疫病强制免疫工作已顺利完成免疫密度达到96.13%。项目资金其中35万元用于检疫卡环、动物耳标采购，12完成招投标。③动物检疫标识采购（项目名称）完成通过县市服务指导有效加强了我州动物卫生监督工作，全年未发生区域性重大动物疫情，有效保障了我州动物产地检疫、屠宰检疫工作顺利开展，检疫合格动物及动物产品的运输，确保了我州畜产品质量安全。④办公楼改造（项目名称）完成按照伊宁市城市形象要求，对伊犁州动物卫生监督所监督所办公场所实施亮化改造。12月底完成对大门、围墙、地面的修缮、水暖改造和外墙保温，其中预留质量保证金4.01万元于2022年12月支付，4个专项项目预期目标完成程度、实施对经济和社会的影响如下：1、中央动物防疫补助（项目名称）口蹄疫、高致病性禽流感、布病等优先防治病种防治工作2、自治区动物防疫补助完成口蹄疫、高致病性禽流感、布病等优先防治病种防治工作，本年未发生大规模随意抛弃病死猪事件</w:t>
        <w:br/>
        <w:t>3、动物标识采购（项目名称）完成通过发放动物标识实现了动物及动物产品可追溯，保障了县市动物产地检疫、屠宰检疫的顺利开展，合法检疫动物及动物产品的运输，实现了我州畜产品质量安全和不发生区域性重大动物疫情的目标。4、办公楼改造（项目名称）完成伊宁市城市形象要求，对伊犁州动物卫生监督所办公场所实施亮化改造，单位职工上班环境变好。</w:t>
        <w:br/>
        <w:t>。</w:t>
        <w:br/>
        <w:t>（2）整体支出评价主要内容</w:t>
        <w:br/>
        <w:t>①绩效目标的设定情况。重点评价绩效目标设立的充分性、明确性、合理性以及细化程度。</w:t>
        <w:br/>
        <w:t>②资金投入和使用情况。重点评价资金分配过程、投入方式、资金到位、预算执行和结果。</w:t>
        <w:br/>
        <w:t>③为实现绩效目标制定的制度、采取的措施等。包括项目管理制度、财务管理制度、资产管理制度和绩效跟踪管理措施等。</w:t>
        <w:br/>
        <w:t>④绩效目标的实现程度和效果。绩效目标的实现程度包括产出数量、产出质量、产出时效和产出成本。效果包括经济效益、社会效益、生态效益、可持续影响以及服务对象满意度等。</w:t>
        <w:br/>
        <w:t>（3）整体支出评价涉及对象及范围</w:t>
        <w:br/>
        <w:t>涉及对象：本次评价对象是伊犁哈萨克自治州动物卫生监督所，所有财政资金支出活动。</w:t>
        <w:br/>
        <w:t>整体支出评价范围：</w:t>
        <w:br/>
        <w:t>①基本支出 378.02 万元，其中：社会保障和就业支出、医疗卫生与计划生育、农林水支出、住房保障支出。</w:t>
        <w:br/>
        <w:t>②项目支出 250.44 万元：1、中央动物防疫补助项目，2、自治区动物防疫补助项目，3动物检疫标识采购项目，4、办公楼改造项目。</w:t>
      </w:r>
      <w:bookmarkStart w:id="0" w:name="_Hlk43849111"/>
      <w:bookmarkEnd w:id="0"/>
    </w:p>
    <w:p w14:paraId="1FB1F5AB" w14:textId="06EB5EB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部门单位整体支出管理及使用情况</w:t>
      </w:r>
    </w:p>
    <w:p w14:paraId="0E9CCC6D" w14:textId="3BB090B7"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</w:t>
        <w:br/>
        <w:t>（一）预算管理</w:t>
        <w:br/>
        <w:t>1、预算编制管理</w:t>
        <w:br/>
        <w:t>我单位严格按照财政部门预算编制与预算调整的工作要求，在预算编制、分配依据否充分的条件下，切实做好“先定目标再编预算”，确保预算分配结果合理。同时按照政府信息公开有关规定要求，部门预算及绩效目标在伊犁州人民政府网站公开，广泛接受社会监督。</w:t>
        <w:br/>
        <w:t>2、预算支出管理</w:t>
        <w:br/>
        <w:t>我单位按照财政要求基本支出分月度申报资金使用计划，由财政部门按照进度每月按期拨付，人员支出按照工资计划发放工资；依照伊犁州动物卫生监督所《财务管理制度》相关规定和伊犁州动物卫生监督所《财务管理制度》规定流程，资金支出按照我内控体系中设定的流程申报审批进行；项目支出属于政府采购的，按照伊犁州动物卫生监督所《伊犁州采购与招标管理办法》组织人员制定采购计划，按照财政局采购部门批复，进行公开招标、邀请招标等方式进行；属于非政府采购的项目，按照“三重一大”制度规定，重大项目支出上支部会研究决定。</w:t>
        <w:br/>
        <w:t>（二）基本支出管理及使用情况</w:t>
        <w:br/>
        <w:t>2021年基本支出预算安排378.02万元，实际到位  378.02 万元,实际支出  378.02  万元，占总支出60.15％，其中：工资福利支出 335.73 万元、商品和服务支出 27.23 万元、对个人和家庭的补助 15.06   万元、主要用于 退休人员费用支出。</w:t>
        <w:br/>
        <w:t>2021年基本支出比上年 482.41 万元,减少104.39 万元，下降 21.64%，支出减少的主要原因是单位8名工作人员划转到农业执法支队及退休人员去世2人抚恤丧葬费用。</w:t>
        <w:br/>
        <w:t>2021年一般公共预算“三公”经费数为 2.3   万元，其中：因公出国（境）费   0  万元，公务用车购置   0 万元，公务用车运行费    2.3万元，公务接待费  0  万元。</w:t>
        <w:br/>
        <w:t>2021年一般公共预算“三公”经费比上年增加0  万元，其中：因公出国（境）费增加 0  万元，主要原因是我单位本年度与上年度均未安排出国人员预算 ；公务用车购置费为0，未安排预算；公务用车运行费增加 0  万元，主要原因是没有增加车辆预算 ；公务接待费增加0万元，主要原因是我单位本年度与上年度均未安排此项预算。</w:t>
        <w:br/>
        <w:t>（三）专项支出管理及使用情况</w:t>
        <w:br/>
        <w:t>1、专项资金安排落实、总投入等情况分析</w:t>
        <w:br/>
        <w:t>2021年预算安排专项资金 290 万元，实际到位290 万元, 到位率100％,其中:中央转移支付项目资金 5 万元，自治区资金  42 万元，本级安排  243 万元。</w:t>
        <w:br/>
        <w:t>2、专项资金实际使用情况</w:t>
        <w:br/>
        <w:t>2021年专项资金支出  250.44万元，占总支出的39.85%，其中2021年专项项目支出比上年228.87 万元增加21.57 万元，上升 9.42%。支出上升的主要原因是增加办公楼改造项目 。其中：中央动物防疫补助项目安排 5 万元，主要用于动物防疫工作，自治区动物防疫补助项目安排 42万元，主要用于动物防疫工作，动物检疫标识采购项目安排 90 万元，主要用于动物标识采购，办公楼改造维修项目安排153 万元，主要用于办公楼改造维修。</w:t>
        <w:br/>
        <w:t>3、专项资金管理情况</w:t>
        <w:br/>
        <w:t>为规范专项资金使用，提高专项资金使用效益，我单位主要采取四项措施。</w:t>
        <w:br/>
        <w:t>一是制订专项资金管理制度；二是各专项资金建立了专帐；三是制订了项目实施方案；四是认真组织项目验收。切实确保专项资金都做到了专款专用。其中：</w:t>
        <w:br/>
        <w:t>（1）制定了《州动物卫生监督所专项经费使用》专项资金管理办法，各项资金使用审批流程均按规定办理。涉及“三重一大”内容，严格按照规定提请所党支部会审议决定，包括项目资金分配、重大项目确定、大额资金支付等。</w:t>
        <w:br/>
        <w:t>（2）建立州动物卫生监督所专项资金专帐，做到有据可依，有据可查。</w:t>
        <w:br/>
        <w:t>（3）制订了州动物卫生监督所项目实施方案，确保项目实施。</w:t>
        <w:br/>
        <w:t>（4）认真组织州动物卫生监督所项目验收，确保项目验收。</w:t>
        <w:br/>
        <w:t>专项资金涉及政府采购项目的，按照所《伊犁州采购与招标管理办法》组织人员制定采购计划，按照财政局采购部门批复，进行竞争性谈判方式进行。</w:t>
      </w:r>
    </w:p>
    <w:p w14:paraId="37DCA4AD" w14:textId="72925F4C"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部门单位专项组织实施情况</w:t>
      </w:r>
    </w:p>
    <w:p w14:paraId="745ED414" w14:textId="37185639"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(一)专项组织情况分析</w:t>
        <w:br/>
        <w:t>1、前期准备</w:t>
        <w:br/>
        <w:t>年初我单位下发的项目专项工作计划，对项目的工作分工、任务分配、资金落实、完成时限等提出了明确、具体的要求，以确保项目保质、保量、按时完成。详细如下：收集部门成立背景资料、部门战略目标、中长期工作规划、部门职责、组织构成及其职能、预算编制等资料，并组织绩效评价自评小组对部门相关文件进行研读，梳理并确认工作任务及要求、部门内部管理制度及存量资源。梳理2021年专项资金使用情况和专项项目实施规模，根据各专项实际存档资料，就专项工作计划与部门职能和规划内容、与科室和项目之间的对应关系、重点工作安排与重点项目安排情况等，与相关科室的管理人员进行了沟通和交流，深入了解本部门涉及专项资金的使用情况和项目完成情况。</w:t>
        <w:br/>
        <w:t>2、组织实施</w:t>
        <w:br/>
        <w:t>我单位通过文件研读和前期调研等方式，收集、整理、总结部门的职能定位、中长期规划、年度工作计划以及专项项目实施情况。对于专项资金项目下达的绩效目标表，按照下达绩效目标，立足实际完成情况，开展专项项目绩效自评。对于未下达绩效目标表的项目，由我单位自行设定并经财政审核备案后，实施专项项目绩效自评。自评内容主要包括以下两个方面：</w:t>
        <w:br/>
        <w:t>一是对专项项目预算执行情况进行分析，再考察专项项目产出、项目目标的实现程度和管理有效性，从而总结项目取得的业绩和经验，发现项目存在的不足之处。</w:t>
        <w:br/>
        <w:t>二是对财政资金使用合规性进行评价，主要评价：①专项资金是否存在截留、挪用，支付审批是否合规、是否存在用途改变、范围超支和虚列项目支出等情况；②项目实施是否符合专项管理办法，流程和管理制度是否合规；③项目完成情况的真实性和绩效目标完成情况分析。通过评价发现财政资金使用中存在的合规性问题，总结财务内控中存在的不足之处。</w:t>
        <w:br/>
        <w:t>截止12月31日，该专项均按照时间计划保质、保量完成。</w:t>
        <w:br/>
        <w:t>(二)专项管理情况分析</w:t>
        <w:br/>
        <w:t>1、资金到位及使用情况</w:t>
        <w:br/>
        <w:t>2021年涉及专项资金290万元，实际到位 290  万元，资金到位率100%。截止到2021年12月  31日执行 250.44万元，执行率86.36%。其中：2021年结转专项资金0万元，实际执行0万元，执行率为0%；2021年新增专项资金290万元，实际执行250.44万元，执行率为86.36%。</w:t>
        <w:br/>
        <w:t>2、资金管理情况</w:t>
        <w:br/>
        <w:t>我单位严格执行州动物卫生监督所【2021】05号《专项资金管理办法》文件精神要求，加强对专项资金的绩效管理，确保专款专用，提高专项资金使用效益。遵守相关法律法规，严肃财经纪律，自觉接受财政、审计、监察监督检查。</w:t>
        <w:br/>
        <w:t>(三)项目实施情况分析</w:t>
        <w:br/>
        <w:t>1、组织情况</w:t>
        <w:br/>
        <w:t>伊犁州动物卫生监督所，根据2021年4个项目的绩效目标及工作内容，将其细化分工至本单位4个科室，加强组织领导，明确分工，各司其职，抓好工作目标任务的落实完成，同时年中要求各科室按照年初预算对本科室绩效工作进行自查自评，并报上半年工作情况总结，5月和8月对工作情况进行跟踪检查，确保绩效目标如期实现，不断提高财政资金配置和使用效益。</w:t>
        <w:br/>
        <w:t>2、管理情况</w:t>
        <w:br/>
        <w:t>伊犁州动物卫生监督所，实施的4个项目，由相关科室指派专人进行全过程跟踪管理，科室负责人统筹推进项目实施，单位领导不定期对项目进度进行调度，并对项目质量进行控制。</w:t>
        <w:br/>
        <w:t>3、监管情况</w:t>
        <w:br/>
        <w:t>伊犁州动物卫生监督所办公室主任王永刚、防疫检疫科副科长邓力从项目实施方案、项目预算、项目建设进度、项目成本、项目验收等环节，全过程对项目进行监管，并向单位主要领导报告，以推进项目建设和提高项目质量，以发挥资金使用效益。</w:t>
        <w:br/>
        <w:t>(四)绩效情况分析</w:t>
        <w:br/>
        <w:t>1、成本控制情况</w:t>
        <w:br/>
        <w:t>伊犁州动物卫生监督所，所涉及专项项目均已于专项资金下达后按照资金文件及绩效管理要求设置《项目绩效目标表》。4个专项项目预算总额为290万元，在项目实施过程中，业务人员加强项目管理，合理控制项目成本，截止项目结束，4个项目总成本为250.44万元，不存在超支情况。</w:t>
        <w:br/>
        <w:t>2、成本节约情况</w:t>
        <w:br/>
        <w:t>伊犁州动物卫生监督所，所涉及专项项目使用资金比专项项目总预算减少35.55万元，项目节约率为12.26%。</w:t>
        <w:br/>
        <w:t>(五)项目效率性分析</w:t>
        <w:br/>
        <w:t>1、实施进度</w:t>
        <w:br/>
        <w:t>2021年州动物卫生监督所共涉及专项项目4个，截止到2021年底，通过专项项目实施过程中的有效监督，我单位按预期基本完成了4个专项的各项专项任务，项目总体完成率为98.55%。</w:t>
        <w:br/>
        <w:t>2、完成质量</w:t>
        <w:br/>
        <w:t>4个专项项目完成质量情况如下：</w:t>
        <w:br/>
        <w:t>①中央动物防疫补助完成强制免疫密度达到90%，平均抗体合格率常年保持70%以上强制扑杀补助率应补尽补</w:t>
        <w:br/>
        <w:t>②自治区动物防疫补助（项目名称）完成春季重大动物疫病强制免疫工作已顺利完成免疫密度达到96.13%。项目资金其中35万元用于检疫卡环、动物耳标采购，12完成招投标。</w:t>
        <w:br/>
        <w:t>③动物检疫标识采购（项目名称）完成通过县市服务指导有效加强了我州动物卫生监督工作，全年未发生区域性重大动物疫情，有效保障了我州动物产地检疫、屠宰检疫工作顺利开展，检疫合格动物及动物产品的运输，确保了我州畜产品质量安全。</w:t>
        <w:br/>
        <w:t>④办公楼改造（项目名称）完成按照伊宁市城市形象要求，对伊犁州动物卫生监督所监督所办公场所实施亮化改造。12月底完成对大门、围墙、地面的修缮、水暖改造和外墙保温，其中预留质量保证金4.01万元于2022年12月支付。</w:t>
        <w:br/>
        <w:t>(六)项目效益性分析</w:t>
        <w:br/>
        <w:t>4个专项项目预期目标完成程度、实施对经济和社会的影响如下：</w:t>
        <w:br/>
        <w:t>1、中央动物防疫补助（项目名称）口蹄疫、高致病性禽流感、布病等优先防治病种防治工作</w:t>
        <w:br/>
        <w:t>2、自治区动物防疫补助完成口蹄疫、高致病性禽流感、布病等优先防治病种防治工作，本年未发生大规模随意抛弃病死猪事件</w:t>
        <w:br/>
        <w:t>3、动物标识采购（项目名称）完成通过发放动物标识实现了动物及动物产品可追溯，保障了县市动物产地检疫、屠宰检疫的顺利开展，合法检疫动物及动物产品的运输，实现了我州畜产品质量安全和不发生区域性重大动物疫情的目标。</w:t>
        <w:br/>
        <w:t xml:space="preserve">    4、办公楼改造（项目名称）完成伊宁市城市形象要求，对伊犁州动物卫生监督所监督所办公场所实施亮化改造，单位职工上班环境变好。</w:t>
      </w:r>
    </w:p>
    <w:p w14:paraId="12A3AD8D" w14:textId="629BB3D6"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资产管理情况</w:t>
      </w:r>
    </w:p>
    <w:p w14:paraId="0A4F0C23" w14:textId="6048A21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（一）资产配置情况</w:t>
        <w:br/>
        <w:t>2021年我单位资产总额   106.33万元，其中流动资产29.78   万元（其中货币现金0.17万元、其他应收款净额18.6万元、存货10.97万元），固定资产净值 76.55 万元（其中：土地、房屋及构筑物  67.83  万元，占固定资产净值的88.61%；通用设备  1.54  万元，占固定资产净值的2.01%；专用设备  0.34  万元，占固定资产净值的0.44%；其他 6.84万元，占固定资产净值的8.93%）。</w:t>
        <w:br/>
        <w:t>本年度流动资产 29.78  万元，比上年减少37.8   万元，原因是： 上年结余减少，应收账款减少 。</w:t>
        <w:br/>
        <w:t>本年度固定资产 408.83   万元，比上年减少8.47   万元，原因是：资产报废     。</w:t>
        <w:br/>
        <w:t>实际在用固定资产 408.83 万元，固定资产利用率100%</w:t>
        <w:br/>
        <w:t>（二）资产管理情况</w:t>
        <w:br/>
        <w:t>1、固定资产按照“谁使用、谁负责”的原则，一年一次盘点，使用人在登记卡上签字确认。固定资产严格按照内部控制规范、《资产管理办法》、《政府采购管理办法》进行配置和处置。严格按照财务管理的相关要求，制定了《固定资产管理办法》、《货币资金管理制度》和《政府采购管理办法》等固定资产和办公用品使用、审批、稽核的内部管理规范。</w:t>
        <w:br/>
        <w:t>2、流动资产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14:paraId="0B4A597E" w14:textId="3A38E9D2"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部门单位整体支出绩效情况</w:t>
      </w:r>
    </w:p>
    <w:p w14:paraId="346EF8A1" w14:textId="12FD60D8" w:rsidR="00E8616A" w:rsidRPr="00E8616A" w:rsidRDefault="00E8616A" w:rsidP="00DC7E33">
      <w:pPr>
        <w:spacing w:line="600" w:lineRule="exact"/>
        <w:ind w:firstLineChars="350" w:firstLine="112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仿宋_GB2312" w:eastAsia="仿宋_GB2312" w:hAnsi="宋体" w:hint="eastAsia"/>
          <w:b/>
          <w:sz w:val="32"/>
          <w:szCs w:val="32"/>
        </w:rPr>
        <w:t>（一）经济效益评价</w:t>
        <w:br/>
        <w:t>2021年度我单位年初预算安排 449.3 万元，年中调整218.72万元，截止12月底支出628.46万元，执行率100%。</w:t>
        <w:br/>
        <w:t>1、预算资金执行过程中均按照年初预算分配情况均做到专款专用，未出现资金侵、挪占情况。</w:t>
        <w:br/>
        <w:t>2、全年按照部门预算进行成本控制，全部控制在厉行节约指标数内。其他支出按财政部门下达的计划实施，全年没有项目超支（若有超支请详细说明情况）。</w:t>
        <w:br/>
        <w:t>（二）效率性评价</w:t>
        <w:br/>
        <w:t>2021年，在州财政局的大力支持和州党委的正确领导下，我单位迎难而上、务实重干，积极推动各项畜牧业工作取得了新的进展，为促进经济持续健康发展与社会和谐稳定提供了有力的支撑和保障。</w:t>
        <w:br/>
        <w:t>1、坚持“以监促防、以检促防”的理念，扎实开展动物产地检疫、屠宰检疫、良种畜引进落地监管工作、春秋季重大动物疫病的防控和动物卫生监督检查站的服务指导等，较圆满的完成了2021年年初设定的各项绩效目标任务。为畜牧业高质量发展、实现畜牧业“251”工程开好局、起好步作出积极贡献。</w:t>
        <w:br/>
        <w:t>2、加强项目监督管理，通过成立项目领导小组加强对2021年动物检疫标识（志）采购和中央动物防疫等补助经费的使用管理，提前完成了项目绩效目标任务。</w:t>
        <w:br/>
        <w:t>3、保障县市动物检疫顺利开展。通过动物检疫标识志的招标采购及时发放，实现了动物及动物产品的可追溯，对重大动物疫病的防控，保障动物性产品安全、保障农牧民增收取得了显著成效。</w:t>
        <w:br/>
        <w:t>4、通过对县市动物卫生监督工作的服务指导，确保了县市动物检疫工作的顺利开展，实现了动物及动物产品的可追溯，保障了检疫合格动物及动物产品的运输，年初设定的各项绩效目标任务全面完成达标，获得了养殖场（户）、县市屠宰场、县市官方兽医等服务对象的满意，服务对象满意度高。</w:t>
        <w:br/>
        <w:t>（三）有效性评价</w:t>
        <w:br/>
        <w:t>2021年部门支出的有效性主要体现在我单位各项工作成效上，一是通过落实州党委编办规范县市动物卫生监督所人员编制，及时督促县市官方兽医人员返岗，确保了县市动物检疫工作有人干；二是扎实开展官方兽医培训，开展官方兽医电子出证培训、无纸化防疫系统的使用等培训班，不断规范县市动物检疫流程，确保了官方兽医熟练掌握优化升级的动物检疫电子出证系统。三是加强县市动物卫生监督工作的服务指导，坚持每月开展服务指导1次，主要对县市动物检疫出证、动物落地监管、屠宰场官方兽医驻场、动物卫生监督检查站的规范管理，提升动物疫病防控的能力；四是做好动物检疫证章标识（志）的管理工作，通过项目招标采购动物检疫标识（志），及时发放到位，实现了动物及动物产品的可追溯，确保了检疫合格的动物及动物产品的运输，为畜牧业高质量发展提供保障；五是做好部门单位人员工资福利支出及运转保障，有效提升了干部队伍工作积极性；六是加强动物产地检疫、屠宰检疫的监督管理，利用电子出证系统和无纸化防疫平台，加强县市网上出证系统的巡察，发现问题及时核查，不断巩固重大动物疫病防控成果，确保我州畜产品质量安全，为畜牧业高质量发展、实现畜牧业“251”工程开好局、起好步作出积极贡献。</w:t>
        <w:br/>
        <w:t>州动物卫生监督所部门单位整体绩效目标共设置一级指标 3 个，二级指标 6 个，三级指标13 个，详细说明如下</w:t>
        <w:br/>
        <w:t>1、数量指标：</w:t>
        <w:br/>
        <w:t>指标1：保障在职人数 ，指标值：&gt;=25人，实际完成值：24人 ，指标完成率96%；</w:t>
        <w:br/>
        <w:t>指标2：采购动物二维码耳标，指标值：≥=183.4万套，实际完成值：183.4万套 ，指标完成率100%；</w:t>
        <w:br/>
        <w:t>2、质量指标：</w:t>
        <w:br/>
        <w:t>指标1：采购检疫标识（志）质量合格率，指标值：=100%，实际完成值：100%，指标完成率100%；</w:t>
        <w:br/>
        <w:t>指标2：工资及公用经费保障率，指标值：=100% ，实际完成值：100% ，指标完成率100%；</w:t>
        <w:br/>
        <w:t>3、时效指标：</w:t>
        <w:br/>
        <w:t>指标1：采购检疫标识及时 ，指标值：=100%，实际完成值：100%，指标完成率100%；</w:t>
        <w:br/>
        <w:t>指标2：资金发放及时性，指标值：=100%  ，实际完成值：100% ，指标完成率100%；</w:t>
        <w:br/>
        <w:t>4、成本指标：</w:t>
        <w:br/>
        <w:t>指标1：人均支出标准，指标值：≦12.78万元，实际完成值：12.35万元，指标完成率96.64%；</w:t>
        <w:br/>
        <w:t>指标2：采购动物二维码耳标费用 ，指标值：&lt;=58.83万元  ，实际完成值：38.17万元 ，指标完成率100%；</w:t>
        <w:br/>
        <w:t>指标3：人均运转经费数 ，指标值：≦1.59万元  ，实际完成值：1.55万元 ，指标完成率97.48%；</w:t>
        <w:br/>
        <w:t>5、社会效益指标：</w:t>
        <w:br/>
        <w:t>指标1：保障合法检疫动物、动物产品的运输 ，指标值：有效保障 ，实际完成值：100% ，指标完成率100%；</w:t>
        <w:br/>
        <w:t>指标2：保障动物产地检疫、屠宰检疫顺利开展 ，指标值：有效保障 ，实际完成值：100%  ，指标完成率100%；</w:t>
        <w:br/>
        <w:t>6、满意度指标：</w:t>
        <w:br/>
        <w:t>指标1：职工满意度 ，指标值：&gt;=98% ，实际完成值：100%  指标完成率105.26%；</w:t>
        <w:br/>
        <w:t>指标2：动物检疫标识使用人员满意率 ，指标值：&gt;=95% ，实际完成值：100% ，指标完成率102.04%；</w:t>
      </w:r>
    </w:p>
    <w:p w14:paraId="4D3E30DF" w14:textId="1C07249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存在的主要问题</w:t>
      </w:r>
    </w:p>
    <w:p w14:paraId="5912FC22" w14:textId="46E8FFED"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1、预算编制工作有待细化。预算编制不够明确和细化，预算编制的合理性需要提高，预算执行力度还要进一步加强。</w:t>
        <w:br/>
        <w:t>2、因单位全额编制少导致经费不足：绩效工资和日常公用经费不足、与实际支出相差较大。</w:t>
        <w:br/>
        <w:t>3、公用经费控制有一定难度，基本为刚性支出。</w:t>
      </w:r>
    </w:p>
    <w:p w14:paraId="65E5B227" w14:textId="14D4F6D7"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改进措施和建议</w:t>
      </w:r>
    </w:p>
    <w:p w14:paraId="490E58CB" w14:textId="1CE8FBA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（一）改进措施</w:t>
        <w:br/>
        <w:t>1、细化预算编制工作，认真做好预算的编制。进一步加强单位内部机构各科室的预算管理意识，严格按照预算编制的相关制度和要求进行预算编制；全面编制预算项目，优先保障固定性的、相对刚性的费用支出项目，尽量压缩变动性的、有控制空间的费用项目，进一步提高预算编制的科学性、严谨性和可控性。加强内部预算编制的审核和预算控制指标的下达。</w:t>
        <w:br/>
        <w:t>2、加强财务管理，严格财务审核。加强单位财务管理，健全单位财务管理制度体系，规范单位财务行为。在费用报账支付时，按照预算规定的费用项目和用途进行资金使用审核、列报支付、财务核算，杜绝超支现象的发生。</w:t>
        <w:br/>
        <w:t/>
        <w:br/>
        <w:t/>
        <w:br/>
        <w:t>（二）建议</w:t>
        <w:br/>
        <w:t>1、进一步加强项目的绩效目标的设立与项目评价体系的匹配，提高绩效评价水平，提高资金的使用效率。</w:t>
        <w:br/>
        <w:t>2、由于绩效监控工作开展时间短，涉及面广，专业性强，加上缺乏系统的培训，单位对绩效监控理解不充分，对绩效监控业务不精通，在一定程度上影响了绩效评价工作质量。建议，加强高层次培训，尽快使绩效监控工作不如正常化，并提升质量</w:t>
      </w:r>
    </w:p>
    <w:p w14:paraId="37F06586" w14:textId="77777777" w:rsidR="00340E58" w:rsidRPr="00950CC4"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附表：《部门整体支出绩效目标自评表》</w:t>
      </w:r>
    </w:p>
    <w:p w14:paraId="550E9160" w14:textId="77777777" w:rsidR="008F0DCE" w:rsidRPr="00340E58" w:rsidRDefault="008F0DCE"/>
    <w:sectPr w:rsidR="008F0DCE" w:rsidRPr="00340E5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F9EDE2" w14:textId="77777777" w:rsidR="003E45AA" w:rsidRDefault="003E45AA" w:rsidP="00340E58">
      <w:r>
        <w:separator/>
      </w:r>
    </w:p>
  </w:endnote>
  <w:endnote w:type="continuationSeparator" w:id="0">
    <w:p w14:paraId="7EB096F5" w14:textId="77777777" w:rsidR="003E45AA" w:rsidRDefault="003E45AA" w:rsidP="00340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1" w:usb1="080E0000" w:usb2="0000000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default"/>
    <w:sig w:usb0="00000001"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21BEFC" w14:textId="77777777" w:rsidR="003E45AA" w:rsidRDefault="003E45AA" w:rsidP="00340E58">
      <w:r>
        <w:separator/>
      </w:r>
    </w:p>
  </w:footnote>
  <w:footnote w:type="continuationSeparator" w:id="0">
    <w:p w14:paraId="14F82E79" w14:textId="77777777" w:rsidR="003E45AA" w:rsidRDefault="003E45AA" w:rsidP="00340E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E59150"/>
  <w15:chartTrackingRefBased/>
  <w15:docId w15:val="{AB403C91-96A9-4489-9DBC-85D953C40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0E5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40E5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40E58"/>
    <w:rPr>
      <w:sz w:val="18"/>
      <w:szCs w:val="18"/>
    </w:rPr>
  </w:style>
  <w:style w:type="paragraph" w:styleId="a5">
    <w:name w:val="footer"/>
    <w:basedOn w:val="a"/>
    <w:link w:val="a6"/>
    <w:uiPriority w:val="99"/>
    <w:unhideWhenUsed/>
    <w:rsid w:val="00340E58"/>
    <w:pPr>
      <w:tabs>
        <w:tab w:val="center" w:pos="4153"/>
        <w:tab w:val="right" w:pos="8306"/>
      </w:tabs>
      <w:snapToGrid w:val="0"/>
      <w:jc w:val="left"/>
    </w:pPr>
    <w:rPr>
      <w:sz w:val="18"/>
      <w:szCs w:val="18"/>
    </w:rPr>
  </w:style>
  <w:style w:type="character" w:customStyle="1" w:styleId="a6">
    <w:name w:val="页脚 字符"/>
    <w:basedOn w:val="a0"/>
    <w:link w:val="a5"/>
    <w:uiPriority w:val="99"/>
    <w:rsid w:val="00340E58"/>
    <w:rPr>
      <w:sz w:val="18"/>
      <w:szCs w:val="18"/>
    </w:rPr>
  </w:style>
  <w:style w:type="paragraph" w:styleId="a7">
    <w:name w:val="List Paragraph"/>
    <w:basedOn w:val="a"/>
    <w:uiPriority w:val="34"/>
    <w:qFormat/>
    <w:rsid w:val="00E8616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no"?>
<Relationships xmlns="http://schemas.openxmlformats.org/package/2006/relationships">
<Relationship Id="rId1" Target="numbering.xml" Type="http://schemas.openxmlformats.org/officeDocument/2006/relationships/numbering"/>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ntTable.xml" Type="http://schemas.openxmlformats.org/officeDocument/2006/relationships/fontTable"/>
<Relationship Id="rId8"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51</Words>
  <Characters>293</Characters>
  <Application>Microsoft Office Word</Application>
  <DocSecurity>0</DocSecurity>
  <Lines>2</Lines>
  <Paragraphs>1</Paragraphs>
  <ScaleCrop>false</ScaleCrop>
  <Company/>
  <LinksUpToDate>false</LinksUpToDate>
  <CharactersWithSpaces>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liu hongbing</cp:lastModifiedBy>
  <dcterms:modified xsi:type="dcterms:W3CDTF">2020-06-23T16:43:00Z</dcterms:modified>
  <cp:revision>22</cp:revision>
</cp:coreProperties>
</file>