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21EA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FD4DBA1">
      <w:pPr>
        <w:spacing w:line="540" w:lineRule="exact"/>
        <w:jc w:val="center"/>
        <w:rPr>
          <w:rFonts w:ascii="方正小标宋_GBK" w:hAnsi="华文中宋" w:eastAsia="方正小标宋_GBK" w:cs="宋体"/>
          <w:b/>
          <w:kern w:val="0"/>
          <w:sz w:val="48"/>
          <w:szCs w:val="48"/>
        </w:rPr>
      </w:pPr>
    </w:p>
    <w:p w14:paraId="62ED365F">
      <w:pPr>
        <w:spacing w:line="540" w:lineRule="exact"/>
        <w:jc w:val="center"/>
        <w:rPr>
          <w:rFonts w:ascii="方正小标宋_GBK" w:hAnsi="华文中宋" w:eastAsia="方正小标宋_GBK" w:cs="宋体"/>
          <w:b/>
          <w:kern w:val="0"/>
          <w:sz w:val="48"/>
          <w:szCs w:val="48"/>
        </w:rPr>
      </w:pPr>
    </w:p>
    <w:p w14:paraId="1F651C77">
      <w:pPr>
        <w:spacing w:line="540" w:lineRule="exact"/>
        <w:jc w:val="center"/>
        <w:rPr>
          <w:rFonts w:ascii="方正小标宋_GBK" w:hAnsi="华文中宋" w:eastAsia="方正小标宋_GBK" w:cs="宋体"/>
          <w:b/>
          <w:kern w:val="0"/>
          <w:sz w:val="48"/>
          <w:szCs w:val="48"/>
        </w:rPr>
      </w:pPr>
    </w:p>
    <w:p w14:paraId="3E949F71">
      <w:pPr>
        <w:spacing w:line="540" w:lineRule="exact"/>
        <w:jc w:val="center"/>
        <w:rPr>
          <w:rFonts w:ascii="方正小标宋_GBK" w:hAnsi="华文中宋" w:eastAsia="方正小标宋_GBK" w:cs="宋体"/>
          <w:b/>
          <w:kern w:val="0"/>
          <w:sz w:val="48"/>
          <w:szCs w:val="48"/>
        </w:rPr>
      </w:pPr>
    </w:p>
    <w:p w14:paraId="1021D942">
      <w:pPr>
        <w:spacing w:line="540" w:lineRule="exact"/>
        <w:jc w:val="center"/>
        <w:rPr>
          <w:rFonts w:ascii="方正小标宋_GBK" w:hAnsi="华文中宋" w:eastAsia="方正小标宋_GBK" w:cs="宋体"/>
          <w:b/>
          <w:kern w:val="0"/>
          <w:sz w:val="48"/>
          <w:szCs w:val="48"/>
        </w:rPr>
      </w:pPr>
    </w:p>
    <w:p w14:paraId="5C1700E4">
      <w:pPr>
        <w:spacing w:line="540" w:lineRule="exact"/>
        <w:jc w:val="center"/>
        <w:rPr>
          <w:rFonts w:ascii="方正小标宋_GBK" w:hAnsi="华文中宋" w:eastAsia="方正小标宋_GBK" w:cs="宋体"/>
          <w:b/>
          <w:kern w:val="0"/>
          <w:sz w:val="48"/>
          <w:szCs w:val="48"/>
        </w:rPr>
      </w:pPr>
    </w:p>
    <w:p w14:paraId="2DA9494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B0D415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976C9CC">
      <w:pPr>
        <w:spacing w:line="540" w:lineRule="exact"/>
        <w:jc w:val="center"/>
        <w:rPr>
          <w:rFonts w:ascii="华文中宋" w:hAnsi="华文中宋" w:eastAsia="华文中宋" w:cs="宋体"/>
          <w:b/>
          <w:kern w:val="0"/>
          <w:sz w:val="52"/>
          <w:szCs w:val="52"/>
        </w:rPr>
      </w:pPr>
    </w:p>
    <w:p w14:paraId="69082E43">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C8E3F4F">
      <w:pPr>
        <w:spacing w:line="540" w:lineRule="exact"/>
        <w:jc w:val="center"/>
        <w:rPr>
          <w:rFonts w:hAnsi="宋体" w:eastAsia="仿宋_GB2312" w:cs="宋体"/>
          <w:kern w:val="0"/>
          <w:sz w:val="30"/>
          <w:szCs w:val="30"/>
        </w:rPr>
      </w:pPr>
    </w:p>
    <w:p w14:paraId="0109DF5B">
      <w:pPr>
        <w:spacing w:line="540" w:lineRule="exact"/>
        <w:jc w:val="center"/>
        <w:rPr>
          <w:rFonts w:hAnsi="宋体" w:eastAsia="仿宋_GB2312" w:cs="宋体"/>
          <w:kern w:val="0"/>
          <w:sz w:val="30"/>
          <w:szCs w:val="30"/>
        </w:rPr>
      </w:pPr>
    </w:p>
    <w:p w14:paraId="2B9097D4">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094762EE">
      <w:pPr>
        <w:spacing w:line="540" w:lineRule="exact"/>
        <w:jc w:val="center"/>
        <w:rPr>
          <w:rFonts w:hAnsi="宋体" w:eastAsia="仿宋_GB2312" w:cs="宋体"/>
          <w:kern w:val="0"/>
          <w:sz w:val="30"/>
          <w:szCs w:val="30"/>
        </w:rPr>
      </w:pPr>
    </w:p>
    <w:p w14:paraId="3FD4C98C">
      <w:pPr>
        <w:spacing w:line="540" w:lineRule="exact"/>
        <w:jc w:val="center"/>
        <w:rPr>
          <w:rFonts w:hAnsi="宋体" w:eastAsia="仿宋_GB2312" w:cs="宋体"/>
          <w:kern w:val="0"/>
          <w:sz w:val="30"/>
          <w:szCs w:val="30"/>
        </w:rPr>
      </w:pPr>
    </w:p>
    <w:p w14:paraId="739A998F">
      <w:pPr>
        <w:spacing w:line="540" w:lineRule="exact"/>
        <w:jc w:val="center"/>
        <w:rPr>
          <w:rFonts w:hAnsi="宋体" w:eastAsia="仿宋_GB2312" w:cs="宋体"/>
          <w:kern w:val="0"/>
          <w:sz w:val="30"/>
          <w:szCs w:val="30"/>
        </w:rPr>
      </w:pPr>
    </w:p>
    <w:p w14:paraId="5FAAA2C8">
      <w:pPr>
        <w:spacing w:line="540" w:lineRule="exact"/>
        <w:rPr>
          <w:rFonts w:hAnsi="宋体" w:eastAsia="仿宋_GB2312" w:cs="宋体"/>
          <w:kern w:val="0"/>
          <w:sz w:val="30"/>
          <w:szCs w:val="30"/>
        </w:rPr>
      </w:pPr>
    </w:p>
    <w:p w14:paraId="4430F3B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78B2F1B">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B37561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705B7EA4">
      <w:pPr>
        <w:spacing w:line="700" w:lineRule="exact"/>
        <w:jc w:val="left"/>
        <w:rPr>
          <w:rFonts w:hAnsi="宋体" w:eastAsia="仿宋_GB2312" w:cs="宋体"/>
          <w:kern w:val="0"/>
          <w:sz w:val="36"/>
          <w:szCs w:val="36"/>
        </w:rPr>
      </w:pPr>
    </w:p>
    <w:p w14:paraId="1FA437E3">
      <w:pPr>
        <w:spacing w:line="700" w:lineRule="exact"/>
        <w:jc w:val="left"/>
        <w:rPr>
          <w:rFonts w:hAnsi="宋体" w:eastAsia="仿宋_GB2312" w:cs="宋体"/>
          <w:kern w:val="0"/>
          <w:sz w:val="36"/>
          <w:szCs w:val="36"/>
        </w:rPr>
      </w:pPr>
    </w:p>
    <w:p w14:paraId="0A17EA17">
      <w:pPr>
        <w:spacing w:line="700" w:lineRule="exact"/>
        <w:jc w:val="left"/>
        <w:rPr>
          <w:rFonts w:hAnsi="宋体" w:eastAsia="仿宋_GB2312" w:cs="宋体"/>
          <w:kern w:val="0"/>
          <w:sz w:val="36"/>
          <w:szCs w:val="36"/>
        </w:rPr>
      </w:pPr>
    </w:p>
    <w:p w14:paraId="2CBBCC1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5C68CB3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7C9D505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29FD32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负责本行政区域内的农村土地承包及承包合同管理、农民负担监督管理工作、农村集体财务和资产的管理和审计、农经统计报表的收集与审核、农民专业合作组织服务与指导等。</w:t>
      </w:r>
      <w:r>
        <w:rPr>
          <w:rFonts w:hint="eastAsia" w:ascii="仿宋_GB2312" w:hAnsi="宋体" w:eastAsia="仿宋_GB2312"/>
          <w:b/>
          <w:sz w:val="32"/>
          <w:szCs w:val="32"/>
        </w:rPr>
        <w:cr/>
      </w:r>
    </w:p>
    <w:p w14:paraId="026A099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28DE4A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7C700F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伊犁州农村合作经济经营管理局无下属预算单位，下设四个处室，分别是：农民负担科、农村集体财务管理科、农村土地承包合同管理科、综合科。</w:t>
      </w:r>
      <w:r>
        <w:rPr>
          <w:rFonts w:hint="eastAsia" w:ascii="仿宋_GB2312" w:hAnsi="宋体" w:eastAsia="仿宋_GB2312"/>
          <w:b/>
          <w:sz w:val="32"/>
          <w:szCs w:val="32"/>
        </w:rPr>
        <w:cr/>
      </w:r>
    </w:p>
    <w:p w14:paraId="498401F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（2）2021年伊犁州农村合作经济经营管理局实有在职人员为   人，其中：</w:t>
      </w:r>
      <w:r>
        <w:rPr>
          <w:rFonts w:hint="eastAsia" w:ascii="仿宋_GB2312" w:hAnsi="宋体" w:eastAsia="仿宋_GB2312"/>
          <w:b/>
          <w:sz w:val="32"/>
          <w:szCs w:val="32"/>
        </w:rPr>
        <w:cr/>
      </w:r>
    </w:p>
    <w:p w14:paraId="29BA9A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12人（上年13人），同比上年减少 1人；</w:t>
      </w:r>
      <w:r>
        <w:rPr>
          <w:rFonts w:hint="eastAsia" w:ascii="仿宋_GB2312" w:hAnsi="宋体" w:eastAsia="仿宋_GB2312"/>
          <w:b/>
          <w:sz w:val="32"/>
          <w:szCs w:val="32"/>
        </w:rPr>
        <w:cr/>
      </w:r>
    </w:p>
    <w:p w14:paraId="404E91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 0 人。</w:t>
      </w:r>
      <w:r>
        <w:rPr>
          <w:rFonts w:hint="eastAsia" w:ascii="仿宋_GB2312" w:hAnsi="宋体" w:eastAsia="仿宋_GB2312"/>
          <w:b/>
          <w:sz w:val="32"/>
          <w:szCs w:val="32"/>
        </w:rPr>
        <w:cr/>
      </w:r>
    </w:p>
    <w:p w14:paraId="4619CB9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实有退休人员15人（上年13人）, 同比上年增加2 人。</w:t>
      </w:r>
      <w:r>
        <w:rPr>
          <w:rFonts w:hint="eastAsia" w:ascii="仿宋_GB2312" w:hAnsi="宋体" w:eastAsia="仿宋_GB2312"/>
          <w:b/>
          <w:sz w:val="32"/>
          <w:szCs w:val="32"/>
        </w:rPr>
        <w:cr/>
      </w:r>
    </w:p>
    <w:p w14:paraId="66389D4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26B8D24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承担自治州农村经营管理体制的责任，提出自治州深化农村经济体制改革和稳定完善农村基本经营制度的政策建议；指导农村土地承包、耕地使用流转和承包仲裁管理；指导监督自治州减轻农牧民负担和村民筹资酬劳管理工作；指导农村集体资产和财务管理；指导监督自治州农业社会化服务体系、农村合作经济组织、农民合作社和农业行业协会的建设。</w:t>
      </w:r>
      <w:r>
        <w:rPr>
          <w:rFonts w:hint="eastAsia" w:ascii="仿宋_GB2312" w:hAnsi="宋体" w:eastAsia="仿宋_GB2312"/>
          <w:b/>
          <w:sz w:val="32"/>
          <w:szCs w:val="32"/>
        </w:rPr>
        <w:cr/>
      </w:r>
    </w:p>
    <w:p w14:paraId="1199FA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（2）、保障部门单位人员发放工资福利支出及运转支出。</w:t>
      </w:r>
      <w:r>
        <w:rPr>
          <w:rFonts w:hint="eastAsia" w:ascii="仿宋_GB2312" w:hAnsi="宋体" w:eastAsia="仿宋_GB2312"/>
          <w:b/>
          <w:sz w:val="32"/>
          <w:szCs w:val="32"/>
        </w:rPr>
        <w:cr/>
      </w:r>
    </w:p>
    <w:p w14:paraId="38C2355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（3）、农村经营主体培训项目，计划投资12万元，完成2期100位农村经营主体的培训。</w:t>
      </w:r>
      <w:r>
        <w:rPr>
          <w:rFonts w:hint="eastAsia" w:ascii="仿宋_GB2312" w:hAnsi="宋体" w:eastAsia="仿宋_GB2312"/>
          <w:b/>
          <w:sz w:val="32"/>
          <w:szCs w:val="32"/>
        </w:rPr>
        <w:cr/>
      </w:r>
    </w:p>
    <w:p w14:paraId="01E38C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0AFDDE2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179DBCF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2021年我单位全年预算数为212.42万元，其中：年初批复的财政拨款为 185.12万元，年中追加资金27.30万元，调整率14.75%。对比上年 207.24万元增加5.18万元，上升2.50%。</w:t>
      </w:r>
      <w:r>
        <w:rPr>
          <w:rFonts w:hint="eastAsia" w:ascii="仿宋_GB2312" w:hAnsi="宋体" w:eastAsia="仿宋_GB2312"/>
          <w:b/>
          <w:sz w:val="32"/>
          <w:szCs w:val="32"/>
        </w:rPr>
        <w:cr/>
      </w:r>
    </w:p>
    <w:p w14:paraId="0FF992A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2021年实际决算支出211.19万元，执行率99.42%，其中：</w:t>
      </w:r>
      <w:r>
        <w:rPr>
          <w:rFonts w:hint="eastAsia" w:ascii="仿宋_GB2312" w:hAnsi="宋体" w:eastAsia="仿宋_GB2312"/>
          <w:b/>
          <w:sz w:val="32"/>
          <w:szCs w:val="32"/>
        </w:rPr>
        <w:cr/>
      </w:r>
    </w:p>
    <w:p w14:paraId="276E798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 200.41万元，占总支出的94.89％，主要用于本单位机构正常运转、完成日常工作任务而发生的各项支出。其中：工资福利支出179.05万元，主要用于在职和离退休人员基本工资、津贴补贴等人员经费。商品和服务支出18.16万元，主要用于办公费、印刷费、水电费、办公设备购置等。对个人和家庭的补助3.20万元，主要用于退休人员交通费、独生子女费、活动费等。  </w:t>
      </w:r>
      <w:r>
        <w:rPr>
          <w:rFonts w:hint="eastAsia" w:ascii="仿宋_GB2312" w:hAnsi="宋体" w:eastAsia="仿宋_GB2312"/>
          <w:b/>
          <w:sz w:val="32"/>
          <w:szCs w:val="32"/>
        </w:rPr>
        <w:cr/>
      </w:r>
    </w:p>
    <w:p w14:paraId="3B9B7D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（2）项目支出10.78 万元，占总支出的5.11％。2021年农业生产新型经营主体培训项目安排10.78万元，主要用于完成了5期249人农业生产新型经营主体的培训。</w:t>
      </w:r>
      <w:r>
        <w:rPr>
          <w:rFonts w:hint="eastAsia" w:ascii="仿宋_GB2312" w:hAnsi="宋体" w:eastAsia="仿宋_GB2312"/>
          <w:b/>
          <w:sz w:val="32"/>
          <w:szCs w:val="32"/>
        </w:rPr>
        <w:cr/>
      </w:r>
    </w:p>
    <w:p w14:paraId="23F69CD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（3）本年度重点项目支出10.78 万元，重点支出保障率100.00%。其中重点保障项目是农业生产新型经营主体的培训。</w:t>
      </w:r>
      <w:r>
        <w:rPr>
          <w:rFonts w:hint="eastAsia" w:ascii="仿宋_GB2312" w:hAnsi="宋体" w:eastAsia="仿宋_GB2312"/>
          <w:b/>
          <w:sz w:val="32"/>
          <w:szCs w:val="32"/>
        </w:rPr>
        <w:cr/>
      </w:r>
    </w:p>
    <w:p w14:paraId="58DC797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 2.08万元,实际用于政府采购金额2.08万元，采购执行率100.00%。</w:t>
      </w:r>
      <w:r>
        <w:rPr>
          <w:rFonts w:hint="eastAsia" w:ascii="仿宋_GB2312" w:hAnsi="宋体" w:eastAsia="仿宋_GB2312"/>
          <w:b/>
          <w:sz w:val="32"/>
          <w:szCs w:val="32"/>
        </w:rPr>
        <w:cr/>
      </w:r>
    </w:p>
    <w:p w14:paraId="0F016A6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0D2068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3CB04B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整体支出绩效自评采用因素分析法和公众评判法方法，原因是：此次绩效评价按因素分析法和公众评判法等方法，包括项目决策、项目管理、项目绩效三部分内容，主要围绕专项资金使用、资源配置、项目管理等客观分析项目的产出和效果，体现从投入、过程到产出、效果和影响的绩效路径。增强评价的科学性、严谨性和可行性。同时辅以访谈、会议讨论、问卷调查、查阅会计资料等方法。</w:t>
      </w:r>
      <w:r>
        <w:rPr>
          <w:rFonts w:hint="eastAsia" w:ascii="仿宋_GB2312" w:hAnsi="宋体" w:eastAsia="仿宋_GB2312"/>
          <w:b/>
          <w:sz w:val="32"/>
          <w:szCs w:val="32"/>
        </w:rPr>
        <w:cr/>
      </w:r>
    </w:p>
    <w:p w14:paraId="137A301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6B36815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18F4F99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0C7A0EB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09507DB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00A609E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00B61BB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涉及对象：本次评价对象是伊犁州农村合作经济经营管理局所有财政资金支出活动。</w:t>
      </w:r>
      <w:r>
        <w:rPr>
          <w:rFonts w:hint="eastAsia" w:ascii="仿宋_GB2312" w:hAnsi="宋体" w:eastAsia="仿宋_GB2312"/>
          <w:b/>
          <w:sz w:val="32"/>
          <w:szCs w:val="32"/>
        </w:rPr>
        <w:cr/>
      </w:r>
    </w:p>
    <w:p w14:paraId="5D2F0B9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2F9F52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 200.42万元，其中：工资福利支出、商品和服务支出、对个人和家庭的补助支出。</w:t>
      </w:r>
      <w:r>
        <w:rPr>
          <w:rFonts w:hint="eastAsia" w:ascii="仿宋_GB2312" w:hAnsi="宋体" w:eastAsia="仿宋_GB2312"/>
          <w:b/>
          <w:sz w:val="32"/>
          <w:szCs w:val="32"/>
        </w:rPr>
        <w:cr/>
      </w:r>
    </w:p>
    <w:p w14:paraId="7022E9C0">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12 万元：2021年农业生产新型经营主体培训项目</w:t>
      </w:r>
      <w:bookmarkStart w:id="0" w:name="_Hlk43849111"/>
      <w:bookmarkEnd w:id="0"/>
    </w:p>
    <w:p w14:paraId="1B2B765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2B8E754">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60887EA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要求，部门预算及绩效目标在伊犁州政府网中公开，广泛接受社会监督。</w:t>
      </w:r>
      <w:r>
        <w:rPr>
          <w:rFonts w:hint="eastAsia" w:ascii="仿宋_GB2312" w:hAnsi="宋体" w:eastAsia="仿宋_GB2312"/>
          <w:b/>
          <w:sz w:val="32"/>
          <w:szCs w:val="32"/>
        </w:rPr>
        <w:cr/>
      </w:r>
    </w:p>
    <w:p w14:paraId="3F47B05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0A955D8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农村合作经济经营管理局《预算管理》相关规定和伊犁州农村合作经济经营管理局《收支管理》规定流程，资金支出按照我内控体系中设定的流程申报审批进行；项目支出属于政府采购的，按照局伊犁州农村合作经济经营管理局《政府采购与招标管理办法》组织人员制定采购计划，按照财政局采购部门批复，进行公开招标、邀请招标等方式进行；属于非政府采购的项目，按照“三重一大”制度规定，重大项目支出上党支部会议研究决定。</w:t>
      </w:r>
      <w:r>
        <w:rPr>
          <w:rFonts w:hint="eastAsia" w:ascii="仿宋_GB2312" w:hAnsi="宋体" w:eastAsia="仿宋_GB2312"/>
          <w:b/>
          <w:sz w:val="32"/>
          <w:szCs w:val="32"/>
        </w:rPr>
        <w:cr/>
      </w:r>
    </w:p>
    <w:p w14:paraId="16E62A9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542BB3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2021年基本支出预算安排200.42万元，实际到位 200.42万元,实际支出  200.41 万元，占总支出的94.89％，其中：工资福利支出    179.05万元、商品和服务支出 18.16 万元、对个人和家庭的补助 3.2万元、主要用于保障单位正常运转和人员工资福利支出 。</w:t>
      </w:r>
      <w:r>
        <w:rPr>
          <w:rFonts w:hint="eastAsia" w:ascii="仿宋_GB2312" w:hAnsi="宋体" w:eastAsia="仿宋_GB2312"/>
          <w:b/>
          <w:sz w:val="32"/>
          <w:szCs w:val="32"/>
        </w:rPr>
        <w:cr/>
      </w:r>
    </w:p>
    <w:p w14:paraId="14A2B46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 193.19万元,增加7.22 万元，上升3.73%，支出上升的主要原因是人员工资正常晋升、工资福利支出增加 。</w:t>
      </w:r>
      <w:r>
        <w:rPr>
          <w:rFonts w:hint="eastAsia" w:ascii="仿宋_GB2312" w:hAnsi="宋体" w:eastAsia="仿宋_GB2312"/>
          <w:b/>
          <w:sz w:val="32"/>
          <w:szCs w:val="32"/>
        </w:rPr>
        <w:cr/>
      </w:r>
    </w:p>
    <w:p w14:paraId="4D7425C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 万元，其中：因公出国（境）费 0 万元，公务用车购置 0 万元，公务用车运行费 1.15万元，公务接待费  0 万元。</w:t>
      </w:r>
      <w:r>
        <w:rPr>
          <w:rFonts w:hint="eastAsia" w:ascii="仿宋_GB2312" w:hAnsi="宋体" w:eastAsia="仿宋_GB2312"/>
          <w:b/>
          <w:sz w:val="32"/>
          <w:szCs w:val="32"/>
        </w:rPr>
        <w:cr/>
      </w:r>
    </w:p>
    <w:p w14:paraId="78B5BD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 万元，主要原因是本年及上年均未安排预算 ；公务用车购置费增加0万元，要原因是本年及上年均未安排预算。公务用车运行费增加0万元，主要原因是与上年持平；公务接待费增加万0元，要原因是本年及上年均未安排预算 。</w:t>
      </w:r>
      <w:r>
        <w:rPr>
          <w:rFonts w:hint="eastAsia" w:ascii="仿宋_GB2312" w:hAnsi="宋体" w:eastAsia="仿宋_GB2312"/>
          <w:b/>
          <w:sz w:val="32"/>
          <w:szCs w:val="32"/>
        </w:rPr>
        <w:cr/>
      </w:r>
    </w:p>
    <w:p w14:paraId="7DE2415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2689891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3D82AE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 12 万元，实际到位 12 万元, 到位率100.00％,其中:中央转移支付项目资金 0万元，自治区资金 12万元，本级安排 0 万元。</w:t>
      </w:r>
      <w:r>
        <w:rPr>
          <w:rFonts w:hint="eastAsia" w:ascii="仿宋_GB2312" w:hAnsi="宋体" w:eastAsia="仿宋_GB2312"/>
          <w:b/>
          <w:sz w:val="32"/>
          <w:szCs w:val="32"/>
        </w:rPr>
        <w:cr/>
      </w:r>
    </w:p>
    <w:p w14:paraId="55D8B19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0E9070F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2021年专项资金支出10.78万元，占总支出的5.11%，其中2021年专项项目支出比上年5.34万元增加 5.44万元，上升101.87%。支出上升的主要原因是 按期完成培训项目任务 。其中：农村合作经营主体培训项目安排 10.78万元，主要用于完成5期249人农村经营主体、财务人员、家庭农场经营者的培训。</w:t>
      </w:r>
      <w:r>
        <w:rPr>
          <w:rFonts w:hint="eastAsia" w:ascii="仿宋_GB2312" w:hAnsi="宋体" w:eastAsia="仿宋_GB2312"/>
          <w:b/>
          <w:sz w:val="32"/>
          <w:szCs w:val="32"/>
        </w:rPr>
        <w:cr/>
      </w:r>
    </w:p>
    <w:p w14:paraId="7628CE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740CE1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为规范专项资金使用，提高专项资金使用效益，我部门单位主要采取四项措施。</w:t>
      </w:r>
      <w:r>
        <w:rPr>
          <w:rFonts w:hint="eastAsia" w:ascii="仿宋_GB2312" w:hAnsi="宋体" w:eastAsia="仿宋_GB2312"/>
          <w:b/>
          <w:sz w:val="32"/>
          <w:szCs w:val="32"/>
        </w:rPr>
        <w:cr/>
      </w:r>
    </w:p>
    <w:p w14:paraId="11D8727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4DDAD21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农村合作经营主体培训》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6228F1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（2）建立农村合作经营主体培训专项资金专帐，做到有据可依，有据可查。</w:t>
      </w:r>
      <w:r>
        <w:rPr>
          <w:rFonts w:hint="eastAsia" w:ascii="仿宋_GB2312" w:hAnsi="宋体" w:eastAsia="仿宋_GB2312"/>
          <w:b/>
          <w:sz w:val="32"/>
          <w:szCs w:val="32"/>
        </w:rPr>
        <w:cr/>
      </w:r>
    </w:p>
    <w:p w14:paraId="475E26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（3）制订了伊犁州新型农业经营主体培训项目实施方案，确保项目按期完成。</w:t>
      </w:r>
      <w:r>
        <w:rPr>
          <w:rFonts w:hint="eastAsia" w:ascii="仿宋_GB2312" w:hAnsi="宋体" w:eastAsia="仿宋_GB2312"/>
          <w:b/>
          <w:sz w:val="32"/>
          <w:szCs w:val="32"/>
        </w:rPr>
        <w:cr/>
      </w:r>
    </w:p>
    <w:p w14:paraId="494D383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（4）认真组织伊犁州新型农业经营主体培训项目验收，确保项目资金使用的真实性、有效性。</w:t>
      </w:r>
      <w:r>
        <w:rPr>
          <w:rFonts w:hint="eastAsia" w:ascii="仿宋_GB2312" w:hAnsi="宋体" w:eastAsia="仿宋_GB2312"/>
          <w:b/>
          <w:sz w:val="32"/>
          <w:szCs w:val="32"/>
        </w:rPr>
        <w:cr/>
      </w:r>
    </w:p>
    <w:p w14:paraId="39664BB1">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专项资金涉及政府采购项目的，按照局《专项资金使用采购与招标管理办法》组织人员制定采购计划，按照财政局采购部门批复，进行公开招标、邀请招标等方式进行。</w:t>
      </w:r>
    </w:p>
    <w:p w14:paraId="5E9F2E1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56042077">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0A32647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67B87D0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伊犁州新型农业经营主体培训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0A04D14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1EA11B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22D77FF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2375EA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1D387A3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截止12月24日，该专项均按照时间计划保质、保量完成。</w:t>
      </w:r>
      <w:r>
        <w:rPr>
          <w:rFonts w:hint="eastAsia" w:ascii="仿宋_GB2312" w:hAnsi="宋体" w:eastAsia="仿宋_GB2312"/>
          <w:b/>
          <w:sz w:val="32"/>
          <w:szCs w:val="32"/>
        </w:rPr>
        <w:cr/>
      </w:r>
    </w:p>
    <w:p w14:paraId="3B9C20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06AD377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4B2BF2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2021年涉及专项资金12万元，实际到位 12 万元，资金到位率100.00%。截止到2021年12月 24 日执行 10.78 万元，执行率89.83%。其中：2021年结转专项资金0万元，实际执行0万元，执行率为0.00%；2021年新增专项资金12万元，实际执行10.78万元，执行率为89.83%。</w:t>
      </w:r>
      <w:r>
        <w:rPr>
          <w:rFonts w:hint="eastAsia" w:ascii="仿宋_GB2312" w:hAnsi="宋体" w:eastAsia="仿宋_GB2312"/>
          <w:b/>
          <w:sz w:val="32"/>
          <w:szCs w:val="32"/>
        </w:rPr>
        <w:cr/>
      </w:r>
    </w:p>
    <w:p w14:paraId="2D17685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7F4B48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62A70D2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732523F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7B06150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根据2021年1个项目的绩效目标及工作内容，将其细化分工至本单位农村集体财务管理科毛正航科长，加强组织领导，明确分工，各司其职，抓好工作目标任务的落实完成，同时年中要求农村集体财务管理科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48DF88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036BBD1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伊犁州农村合作经济经营管理局，实施的1个项目，由相关业务科室指派专人进行全过程跟踪管理，科室负责人统筹推进项目实施，单位领导不定期对项目进度进行调度，并对项目质量进行控制。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14:paraId="34E1CD6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08B1B3E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毛正航从项目实施方案、项目预算、项目建设进度、项目成本、项目验收等环节，全过程对项目进行监管，并向本单位主要领导报告，以推进项目建设和提高项目质量，以发挥资金使用效益。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00FA86E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17593D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44E5807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所涉及专项项目均已于专项资金下达后按照资金文件及绩效管理要求设置《项目绩效目标表》。伊犁州新型农业经营主体培训项目预算总额为12万元，在项目实施过程中，业务人员加强项目管理，合理控制项目成本，截止项目结束，伊犁州新型农业经营主体培训项目总成本为10.78万元，不存在超支情况。</w:t>
      </w:r>
      <w:r>
        <w:rPr>
          <w:rFonts w:hint="eastAsia" w:ascii="仿宋_GB2312" w:hAnsi="宋体" w:eastAsia="仿宋_GB2312"/>
          <w:b/>
          <w:sz w:val="32"/>
          <w:szCs w:val="32"/>
        </w:rPr>
        <w:cr/>
      </w:r>
    </w:p>
    <w:p w14:paraId="1A0A098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7F5080A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伊犁州农村合作经济经营管理局，所涉及专项项目使用资金比专项项目总预算减少 1.22万元，项目节约率为10.16%。</w:t>
      </w:r>
      <w:r>
        <w:rPr>
          <w:rFonts w:hint="eastAsia" w:ascii="仿宋_GB2312" w:hAnsi="宋体" w:eastAsia="仿宋_GB2312"/>
          <w:b/>
          <w:sz w:val="32"/>
          <w:szCs w:val="32"/>
        </w:rPr>
        <w:cr/>
      </w:r>
    </w:p>
    <w:p w14:paraId="6633078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1844563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3FF2D2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2021年伊犁州农村合作经济经营管理局共涉及专项项目1个，截止到2021年底，通过专项项目实施过程中的有效监督，我单位按预期完成了1个专项的各项专项任务，项目总体完成率为</w:t>
      </w:r>
      <w:r>
        <w:rPr>
          <w:rFonts w:hint="eastAsia" w:ascii="仿宋_GB2312" w:hAnsi="宋体" w:eastAsia="仿宋_GB2312"/>
          <w:b/>
          <w:sz w:val="32"/>
          <w:szCs w:val="32"/>
        </w:rPr>
        <w:tab/>
      </w:r>
      <w:r>
        <w:rPr>
          <w:rFonts w:hint="eastAsia" w:ascii="仿宋_GB2312" w:hAnsi="宋体" w:eastAsia="仿宋_GB2312"/>
          <w:b/>
          <w:sz w:val="32"/>
          <w:szCs w:val="32"/>
        </w:rPr>
        <w:t>115.09%。</w:t>
      </w:r>
      <w:r>
        <w:rPr>
          <w:rFonts w:hint="eastAsia" w:ascii="仿宋_GB2312" w:hAnsi="宋体" w:eastAsia="仿宋_GB2312"/>
          <w:b/>
          <w:sz w:val="32"/>
          <w:szCs w:val="32"/>
        </w:rPr>
        <w:cr/>
      </w:r>
    </w:p>
    <w:p w14:paraId="403594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437C733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伊犁州新型农业经营主体培训专项项目完成质量情况如下：</w:t>
      </w:r>
      <w:r>
        <w:rPr>
          <w:rFonts w:hint="eastAsia" w:ascii="仿宋_GB2312" w:hAnsi="宋体" w:eastAsia="仿宋_GB2312"/>
          <w:b/>
          <w:sz w:val="32"/>
          <w:szCs w:val="32"/>
        </w:rPr>
        <w:cr/>
      </w:r>
    </w:p>
    <w:p w14:paraId="0D3D47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①伊犁州新型农业经营主体培训完成了5期州直100位新型农村经营主体的培训工作，参加培训的人员培训合格率达到100%，参训人员满意率为100.00%，节约成本1.22万元，培训取得显著成效。</w:t>
      </w:r>
      <w:r>
        <w:rPr>
          <w:rFonts w:hint="eastAsia" w:ascii="仿宋_GB2312" w:hAnsi="宋体" w:eastAsia="仿宋_GB2312"/>
          <w:b/>
          <w:sz w:val="32"/>
          <w:szCs w:val="32"/>
        </w:rPr>
        <w:cr/>
      </w:r>
    </w:p>
    <w:p w14:paraId="390D9C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3F89079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1个专项项目预期目标完成程度、实施对经济和社会的影响如下：</w:t>
      </w:r>
      <w:r>
        <w:rPr>
          <w:rFonts w:hint="eastAsia" w:ascii="仿宋_GB2312" w:hAnsi="宋体" w:eastAsia="仿宋_GB2312"/>
          <w:b/>
          <w:sz w:val="32"/>
          <w:szCs w:val="32"/>
        </w:rPr>
        <w:cr/>
      </w:r>
    </w:p>
    <w:p w14:paraId="386F6471">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伊犁州新型农业经营主体培训项目促进各类新型农业经营主体充分发挥自身优势，相互促进，融合发展，采取订单农业、土地入股、保护价收购、利润返还等多种形式，通过建立“合作社+农户”、“龙头企业+家庭农场”、“龙头企业+合作社+农户”、“龙头企业+基地+农户”等多种利益共享、风险共担的生产经营模式模式，不断增强辐射带动能力，为州直农业产业发展、农民增收致富作出了积极贡献</w:t>
      </w:r>
    </w:p>
    <w:p w14:paraId="33F3645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7DC90C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2430BDB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 33.29万元，其中流动资产 13.77万元（其中货币资金5.24万元、其他应收款净额8.53万元），固定资产净值   19.53万元（其中：土地、房屋及构筑物   9.3 万元，占固定资产净值的47.61%；通用设备 8.28万元，占固定资产净值的42.41%；专用设备 0.7万元，占固定资产净值的3.58%；其他1.25万元，占固定资产净值的6.4%）。</w:t>
      </w:r>
    </w:p>
    <w:p w14:paraId="15EC49F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本年度流动资产13.77万元，比上年减少20.96 万元，原因是：开展2020年农业生产新型经营主体培训项目及2021年农业生产新型经营主体培训项目 。</w:t>
      </w:r>
    </w:p>
    <w:p w14:paraId="033BF7D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本年度固定资产原值 63.48 万元，比上年增加（减少） 0  万元，原因是： 无新增固定资产    。</w:t>
      </w:r>
    </w:p>
    <w:p w14:paraId="0675C2E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 63.48  万元，固定资产利用率100%。</w:t>
      </w:r>
    </w:p>
    <w:p w14:paraId="0DC416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6BCA289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5F23E05">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C5BB14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43E638C5">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65B9857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2021年度我单位年初预算安排185.12万元，年中调整 27.3万元，截止12月底支出211.19万元，执行率99.42%。</w:t>
      </w:r>
      <w:r>
        <w:rPr>
          <w:rFonts w:hint="eastAsia" w:ascii="仿宋_GB2312" w:hAnsi="宋体" w:eastAsia="仿宋_GB2312"/>
          <w:b/>
          <w:sz w:val="32"/>
          <w:szCs w:val="32"/>
        </w:rPr>
        <w:cr/>
      </w:r>
    </w:p>
    <w:p w14:paraId="31A973C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3FC8B6B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2234127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6AD9A6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2021年，在州财政局的大力支持和州党委的正确领导下，我单位迎难而上、务实重干，积极推动各项工作取得了新的进展，为促进经济持续健康发展与社会和谐稳定提供了有力的支撑和保障。</w:t>
      </w:r>
      <w:r>
        <w:rPr>
          <w:rFonts w:hint="eastAsia" w:ascii="仿宋_GB2312" w:hAnsi="宋体" w:eastAsia="仿宋_GB2312"/>
          <w:b/>
          <w:sz w:val="32"/>
          <w:szCs w:val="32"/>
        </w:rPr>
        <w:cr/>
      </w:r>
    </w:p>
    <w:p w14:paraId="709F7A8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圆满完成指导各县市顺利完成换届选举离任审计工作</w:t>
      </w:r>
      <w:r>
        <w:rPr>
          <w:rFonts w:hint="eastAsia" w:ascii="仿宋_GB2312" w:hAnsi="宋体" w:eastAsia="仿宋_GB2312"/>
          <w:b/>
          <w:sz w:val="32"/>
          <w:szCs w:val="32"/>
        </w:rPr>
        <w:cr/>
      </w:r>
    </w:p>
    <w:p w14:paraId="74C15C5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为全面做好村“两委”换届准备工作，根据相关安排，州农经系统积极指导协助开展了村（社区）“两委” 班子成员离任前经济责任专项审计工作，圆满完成105个乡（镇、片区），681个行政村、72个社区的专项审计工作。</w:t>
      </w:r>
      <w:r>
        <w:rPr>
          <w:rFonts w:hint="eastAsia" w:ascii="仿宋_GB2312" w:hAnsi="宋体" w:eastAsia="仿宋_GB2312"/>
          <w:b/>
          <w:sz w:val="32"/>
          <w:szCs w:val="32"/>
        </w:rPr>
        <w:cr/>
      </w:r>
    </w:p>
    <w:p w14:paraId="4281355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2、农村产权制度改革任务提前完成</w:t>
      </w:r>
      <w:r>
        <w:rPr>
          <w:rFonts w:hint="eastAsia" w:ascii="仿宋_GB2312" w:hAnsi="宋体" w:eastAsia="仿宋_GB2312"/>
          <w:b/>
          <w:sz w:val="32"/>
          <w:szCs w:val="32"/>
        </w:rPr>
        <w:cr/>
      </w:r>
    </w:p>
    <w:p w14:paraId="3FB31C8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州直涉及产权制度改革的669个村已全部完成成员身份界定，确认成员总数147.54万人，量化资产总额23.54亿元，成立农村集体经济组织669个，颁发登记证书669本， 581个村发放股权证书31.45万本。州直11个县市已全部通过州级评估验收，自治区级第三方评估验收已完成尼勒克县、巩留县和昭苏县的抽检评估工作，迎接</w:t>
      </w:r>
      <w:r>
        <w:rPr>
          <w:rFonts w:hint="eastAsia" w:ascii="仿宋_GB2312" w:hAnsi="宋体" w:eastAsia="仿宋_GB2312"/>
          <w:b/>
          <w:sz w:val="32"/>
          <w:szCs w:val="32"/>
          <w:lang w:eastAsia="zh-CN"/>
        </w:rPr>
        <w:t>农业农村部</w:t>
      </w:r>
      <w:r>
        <w:rPr>
          <w:rFonts w:hint="eastAsia" w:ascii="仿宋_GB2312" w:hAnsi="宋体" w:eastAsia="仿宋_GB2312"/>
          <w:b/>
          <w:sz w:val="32"/>
          <w:szCs w:val="32"/>
        </w:rPr>
        <w:t>来伊评估验收的各项准备工作已全面落实到位。</w:t>
      </w:r>
      <w:r>
        <w:rPr>
          <w:rFonts w:hint="eastAsia" w:ascii="仿宋_GB2312" w:hAnsi="宋体" w:eastAsia="仿宋_GB2312"/>
          <w:b/>
          <w:sz w:val="32"/>
          <w:szCs w:val="32"/>
        </w:rPr>
        <w:cr/>
      </w:r>
    </w:p>
    <w:p w14:paraId="56AD178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新型农业经营主体高质量发展成效显著</w:t>
      </w:r>
      <w:r>
        <w:rPr>
          <w:rFonts w:hint="eastAsia" w:ascii="仿宋_GB2312" w:hAnsi="宋体" w:eastAsia="仿宋_GB2312"/>
          <w:b/>
          <w:sz w:val="32"/>
          <w:szCs w:val="32"/>
        </w:rPr>
        <w:cr/>
      </w:r>
    </w:p>
    <w:p w14:paraId="020548C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开展家庭农场录入工作，目前录入率100%，建立监管家庭农场1.5万家，需要不断完善添加相应内容。已经完成建设180个示范家庭农场、新建农民合作社176家、规范提升174家。社会化服务以项目为支撑，将25万亩任务分解到县市，实施完毕。2021年农产品产地冷藏保鲜设施建设项目争取706万元，80%任务完成，等待验收。要求各县市持续推进“空壳社”专项清理，继续抓好侵害群众利益问题的清查力度。截至目前，举办合作社负责人培训6期、培训380人，组织新申报自治区级示范合作社31家，申报“一村一品”一个。</w:t>
      </w:r>
      <w:r>
        <w:rPr>
          <w:rFonts w:hint="eastAsia" w:ascii="仿宋_GB2312" w:hAnsi="宋体" w:eastAsia="仿宋_GB2312"/>
          <w:b/>
          <w:sz w:val="32"/>
          <w:szCs w:val="32"/>
        </w:rPr>
        <w:cr/>
      </w:r>
    </w:p>
    <w:p w14:paraId="363DF28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农村土地承包管理工作持续完善，群众满意度高</w:t>
      </w:r>
      <w:r>
        <w:rPr>
          <w:rFonts w:hint="eastAsia" w:ascii="仿宋_GB2312" w:hAnsi="宋体" w:eastAsia="仿宋_GB2312"/>
          <w:b/>
          <w:sz w:val="32"/>
          <w:szCs w:val="32"/>
        </w:rPr>
        <w:cr/>
      </w:r>
    </w:p>
    <w:p w14:paraId="07BA63A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一是扎实推进农村承包地确权登记颁证收尾工作，已全面完成州</w:t>
      </w:r>
      <w:r>
        <w:rPr>
          <w:rFonts w:hint="eastAsia" w:ascii="仿宋_GB2312" w:hAnsi="宋体" w:eastAsia="仿宋_GB2312"/>
          <w:b/>
          <w:sz w:val="32"/>
          <w:szCs w:val="32"/>
        </w:rPr>
        <w:cr/>
      </w:r>
    </w:p>
    <w:p w14:paraId="7B3434D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直10个（不包括奎屯市）县市、99个乡镇、567个村、20.72万户的农村承包地确权登记颁证工作，完成确权面积497.31万亩（其中确认家庭承包地面积412.06万亩）。二是稳步推进农村集体机动地调查整理工作，州直现有农村集体机动地总面积128.41万亩，已完成农村集体机动地调查整理72.55万亩，完成率56.5%。三是积极引导农村土地经营权规范有序流转，稳妥推进农业适度规模经营。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州直家庭承包耕地经营权流转面积达334.03万亩，占到家庭承包耕地面积的80.97%。较2020年增长21.6个百分点。从流转的形式来看，转包方式284.49万亩、入股方式28.97万亩、其他方式8.07万亩；从流转的县市来看，各县市均完成任务。从流转价格来看，2021年州直土地流转市场价格每亩在420元—800元之间不等，州直平均650元左右，较2020年同比增长30%左右，新源县等个别县市土地流转价格达到1200元以上。</w:t>
      </w:r>
      <w:r>
        <w:rPr>
          <w:rFonts w:hint="eastAsia" w:ascii="仿宋_GB2312" w:hAnsi="宋体" w:eastAsia="仿宋_GB2312"/>
          <w:b/>
          <w:sz w:val="32"/>
          <w:szCs w:val="32"/>
        </w:rPr>
        <w:cr/>
      </w:r>
    </w:p>
    <w:p w14:paraId="35EF92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2C5A31A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基础性工作进一步夯实，二是服务农村合作经营主体的能力进一步提升，三是新型农业经营主体发展环境进一步改善，四是农民生活水平进一步提高，五是社会稳定进一步推进，七是服务农村合作经济组织水平进一步增强，详细情况如下：</w:t>
      </w:r>
      <w:r>
        <w:rPr>
          <w:rFonts w:hint="eastAsia" w:ascii="仿宋_GB2312" w:hAnsi="宋体" w:eastAsia="仿宋_GB2312"/>
          <w:b/>
          <w:sz w:val="32"/>
          <w:szCs w:val="32"/>
        </w:rPr>
        <w:cr/>
      </w:r>
    </w:p>
    <w:p w14:paraId="738DA4F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业务工作：农村经济统计工作有序开展。对2020年州直农村经济统计年报进行了校对、审核，重点对经济收入统计区间、农民专业合作社示范市、家庭农场、农经队伍建设统计等有关数据完成了核准；农村土地承包管理工作持续完善。2021年确定的察布查尔县、特克斯县、霍尔果斯市的12.46万亩农村承包地确权登记颁证工作进展顺利，发证工作已基本完成；农村产权制度改革工作基本完成。州涉及产权制度改革的669个村已全部完成成员身份界定，确认成员总数147.54万人，量化资产总额23.54亿元，成立农村集体经济组织669个，颁发登记证书669本， 581个村发放股权证书31.45万本；新型农业经营主体高质量发展逐步加快。完成建设180个示范家庭农场、新建农民合作社176家、规范提升174家；农村宅基地制度改革试点工作稳中有进。作为试点县市之一，伊宁市从52个行政村中选择团结村等11个村先行先试，逐步探索完善宅基地所有权、资格权、使用权“三权分置”的方法路径。全市宅基地地籍调查60438宗，原有宅基地证29800宗，目前已发放房地一体不动产权证8395宗；农经财务领域应收款项专项清理整治工作全面推进。州直开展农经财务领域应收款项专项清理整治工作，截止11月底清理资金约9514.53万元，占比12.76%；指导各县市顺利完成换届选举离任审计工作。协助开展了村（社区）“两委” 班子成员离任前经济责任专项审计工作，完成专项审计105个乡（镇、片区），681个行政村、72个社区。</w:t>
      </w:r>
      <w:r>
        <w:rPr>
          <w:rFonts w:hint="eastAsia" w:ascii="仿宋_GB2312" w:hAnsi="宋体" w:eastAsia="仿宋_GB2312"/>
          <w:b/>
          <w:sz w:val="32"/>
          <w:szCs w:val="32"/>
        </w:rPr>
        <w:cr/>
      </w:r>
    </w:p>
    <w:p w14:paraId="5C08F95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2、干部职工工资福利支出及时足额发放，运转经费足额拨付，保障单位正常运转。</w:t>
      </w:r>
      <w:r>
        <w:rPr>
          <w:rFonts w:hint="eastAsia" w:ascii="仿宋_GB2312" w:hAnsi="宋体" w:eastAsia="仿宋_GB2312"/>
          <w:b/>
          <w:sz w:val="32"/>
          <w:szCs w:val="32"/>
        </w:rPr>
        <w:cr/>
      </w:r>
    </w:p>
    <w:p w14:paraId="5FAC2F9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伊犁州农村合作经济经营管理局单位整体绩效目标共设置一级指标 3 个，二级指标 7 个，三级指标 9个，详细说明如下：</w:t>
      </w:r>
      <w:r>
        <w:rPr>
          <w:rFonts w:hint="eastAsia" w:ascii="仿宋_GB2312" w:hAnsi="宋体" w:eastAsia="仿宋_GB2312"/>
          <w:b/>
          <w:sz w:val="32"/>
          <w:szCs w:val="32"/>
        </w:rPr>
        <w:cr/>
      </w:r>
    </w:p>
    <w:p w14:paraId="1D96240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2BD09E2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 ，=13人 ，实际完成值：12人  ，指标完成率92.31%；</w:t>
      </w:r>
      <w:r>
        <w:rPr>
          <w:rFonts w:hint="eastAsia" w:ascii="仿宋_GB2312" w:hAnsi="宋体" w:eastAsia="仿宋_GB2312"/>
          <w:b/>
          <w:sz w:val="32"/>
          <w:szCs w:val="32"/>
        </w:rPr>
        <w:cr/>
      </w:r>
    </w:p>
    <w:p w14:paraId="37607AD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44FB716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 ，指标值：≥95% ，实际完成值： 100%，指标完成率105.26%；</w:t>
      </w:r>
      <w:r>
        <w:rPr>
          <w:rFonts w:hint="eastAsia" w:ascii="仿宋_GB2312" w:hAnsi="宋体" w:eastAsia="仿宋_GB2312"/>
          <w:b/>
          <w:sz w:val="32"/>
          <w:szCs w:val="32"/>
        </w:rPr>
        <w:cr/>
      </w:r>
    </w:p>
    <w:p w14:paraId="24395BC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592DD54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 ，指标值：=100% ，实际完成值：100% ，指标完成率100.00%；</w:t>
      </w:r>
      <w:r>
        <w:rPr>
          <w:rFonts w:hint="eastAsia" w:ascii="仿宋_GB2312" w:hAnsi="宋体" w:eastAsia="仿宋_GB2312"/>
          <w:b/>
          <w:sz w:val="32"/>
          <w:szCs w:val="32"/>
        </w:rPr>
        <w:cr/>
      </w:r>
    </w:p>
    <w:p w14:paraId="7141021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34ECE6F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，指标值：&lt;=12.73万元 ，实际完成值：13.04万元 ，指标完成率0.00%；</w:t>
      </w:r>
      <w:r>
        <w:rPr>
          <w:rFonts w:hint="eastAsia" w:ascii="仿宋_GB2312" w:hAnsi="宋体" w:eastAsia="仿宋_GB2312"/>
          <w:b/>
          <w:sz w:val="32"/>
          <w:szCs w:val="32"/>
        </w:rPr>
        <w:cr/>
      </w:r>
    </w:p>
    <w:p w14:paraId="2D223A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指标2：人均运转经费，指标值：&lt;=1.51万元 ，实际完成值：1.51万元 ，指标完成率100.00%；</w:t>
      </w:r>
      <w:r>
        <w:rPr>
          <w:rFonts w:hint="eastAsia" w:ascii="仿宋_GB2312" w:hAnsi="宋体" w:eastAsia="仿宋_GB2312"/>
          <w:b/>
          <w:sz w:val="32"/>
          <w:szCs w:val="32"/>
        </w:rPr>
        <w:cr/>
      </w:r>
    </w:p>
    <w:p w14:paraId="5C527D7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57F0E90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指标1：带动伊犁州农民就业增长率，指标值：≥85% ，实际完成值：0% ，指标完成率0.00%；</w:t>
      </w:r>
      <w:r>
        <w:rPr>
          <w:rFonts w:hint="eastAsia" w:ascii="仿宋_GB2312" w:hAnsi="宋体" w:eastAsia="仿宋_GB2312"/>
          <w:b/>
          <w:sz w:val="32"/>
          <w:szCs w:val="32"/>
        </w:rPr>
        <w:cr/>
      </w:r>
    </w:p>
    <w:p w14:paraId="3319BA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指标2：带动伊犁州农村群体经济收入增长率，指标值：≥85%   ，实际完成值：0% ，指标完成率0.00%；</w:t>
      </w:r>
      <w:r>
        <w:rPr>
          <w:rFonts w:hint="eastAsia" w:ascii="仿宋_GB2312" w:hAnsi="宋体" w:eastAsia="仿宋_GB2312"/>
          <w:b/>
          <w:sz w:val="32"/>
          <w:szCs w:val="32"/>
        </w:rPr>
        <w:cr/>
      </w:r>
    </w:p>
    <w:p w14:paraId="6F3D8C9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1B54CF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指标1：全面提升农业治理水平力度，指标值：持续提升，实际完成值：基本提升，指标完成率80.00%；</w:t>
      </w:r>
      <w:r>
        <w:rPr>
          <w:rFonts w:hint="eastAsia" w:ascii="仿宋_GB2312" w:hAnsi="宋体" w:eastAsia="仿宋_GB2312"/>
          <w:b/>
          <w:sz w:val="32"/>
          <w:szCs w:val="32"/>
        </w:rPr>
        <w:cr/>
      </w:r>
    </w:p>
    <w:p w14:paraId="0C55C99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624BF1AA">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指标1：职工满意度 ，指标值：≥95% ，实际完成值：100% ，指标完成率105.26%；</w:t>
      </w:r>
    </w:p>
    <w:p w14:paraId="5A1B71A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18835E3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一是指导农村集体产权制度改革工作还不够扎实，还存在成员身份重复、发展壮大集体经济思路匮乏等问题。</w:t>
      </w:r>
    </w:p>
    <w:p w14:paraId="3F177A1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二是推动规范提升农民专业合作社成效不够，存在部分合作社财务管理不规范、未按时上报年度报告等问题。</w:t>
      </w:r>
    </w:p>
    <w:p w14:paraId="47BBC95A">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三是州直农经系统实际在岗人员少，基层县市农经人员更加缺乏，乡镇虽然有职能，但实际很难实现有人管、有人干。</w:t>
      </w:r>
    </w:p>
    <w:p w14:paraId="19F01D4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CF3953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一是加强学习培训，积极谋划改革的“后半篇文章”在已有改革的基础上，加大股份权能实现形式、发展壮大农村集体经济等方面大胆探索。</w:t>
      </w:r>
    </w:p>
    <w:p w14:paraId="353E1F7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加大农民专业合作社、家庭农场工作等新型经营主体培育和发展的力度，按照有关文件精神，积极督促落实州直农民合作社的清理核查、规范财务管理、加强项目资金管理及发展服务指导，切实规范提升农民专业合作社整体质量。</w:t>
      </w:r>
    </w:p>
    <w:p w14:paraId="3DF0DF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三是及时配齐各级农经机构及在岗工作人员，充实农村经营管理工作力量，切实解决基层农村经营管理队伍人员不足问题，确保农经工作“事有人干，责有人负”。</w:t>
      </w:r>
    </w:p>
    <w:p w14:paraId="4B8694B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042384C6">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进一步加强项目绩效监控人员职责的分工及责任划分，使项目绩效落到实处；提高干部主动接受监督的意识，强化外部监督制约，认真落实内控制度，确保资金安全有效使用。</w:t>
      </w:r>
    </w:p>
    <w:p w14:paraId="7D4966A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DC333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86A1298"/>
    <w:rsid w:val="4E481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8490</Words>
  <Characters>9196</Characters>
  <Lines>2</Lines>
  <Paragraphs>1</Paragraphs>
  <TotalTime>12</TotalTime>
  <ScaleCrop>false</ScaleCrop>
  <LinksUpToDate>false</LinksUpToDate>
  <CharactersWithSpaces>9353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2025-05-20T03:29:10Z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02126870A73E44F88EEC5B8A23E8E6AC_12</vt:lpwstr>
  </property>
  <property fmtid="{D5CDD505-2E9C-101B-9397-08002B2CF9AE}" pid="4" name="KSOTemplateDocerSaveRecord">
    <vt:lpwstr>eyJoZGlkIjoiZTJlNDBmZDg4NzQzM2UxZWE4MWMzYTNmYjU4NjJhMzkiLCJ1c2VySWQiOiIzODc1NDM2MTYifQ==</vt:lpwstr>
  </property>
</Properties>
</file>