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77055">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058551D0">
      <w:pPr>
        <w:spacing w:line="540" w:lineRule="exact"/>
        <w:jc w:val="center"/>
        <w:rPr>
          <w:rFonts w:ascii="方正小标宋_GBK" w:hAnsi="华文中宋" w:eastAsia="方正小标宋_GBK" w:cs="宋体"/>
          <w:b/>
          <w:kern w:val="0"/>
          <w:sz w:val="48"/>
          <w:szCs w:val="48"/>
        </w:rPr>
      </w:pPr>
    </w:p>
    <w:p w14:paraId="448605AF">
      <w:pPr>
        <w:spacing w:line="540" w:lineRule="exact"/>
        <w:jc w:val="center"/>
        <w:rPr>
          <w:rFonts w:ascii="方正小标宋_GBK" w:hAnsi="华文中宋" w:eastAsia="方正小标宋_GBK" w:cs="宋体"/>
          <w:b/>
          <w:kern w:val="0"/>
          <w:sz w:val="48"/>
          <w:szCs w:val="48"/>
        </w:rPr>
      </w:pPr>
    </w:p>
    <w:p w14:paraId="521A1CB1">
      <w:pPr>
        <w:spacing w:line="540" w:lineRule="exact"/>
        <w:jc w:val="center"/>
        <w:rPr>
          <w:rFonts w:ascii="方正小标宋_GBK" w:hAnsi="华文中宋" w:eastAsia="方正小标宋_GBK" w:cs="宋体"/>
          <w:b/>
          <w:kern w:val="0"/>
          <w:sz w:val="48"/>
          <w:szCs w:val="48"/>
        </w:rPr>
      </w:pPr>
    </w:p>
    <w:p w14:paraId="5D3B1820">
      <w:pPr>
        <w:spacing w:line="540" w:lineRule="exact"/>
        <w:jc w:val="center"/>
        <w:rPr>
          <w:rFonts w:ascii="方正小标宋_GBK" w:hAnsi="华文中宋" w:eastAsia="方正小标宋_GBK" w:cs="宋体"/>
          <w:b/>
          <w:kern w:val="0"/>
          <w:sz w:val="48"/>
          <w:szCs w:val="48"/>
        </w:rPr>
      </w:pPr>
    </w:p>
    <w:p w14:paraId="1C3E9375">
      <w:pPr>
        <w:spacing w:line="540" w:lineRule="exact"/>
        <w:jc w:val="center"/>
        <w:rPr>
          <w:rFonts w:ascii="方正小标宋_GBK" w:hAnsi="华文中宋" w:eastAsia="方正小标宋_GBK" w:cs="宋体"/>
          <w:b/>
          <w:kern w:val="0"/>
          <w:sz w:val="48"/>
          <w:szCs w:val="48"/>
        </w:rPr>
      </w:pPr>
    </w:p>
    <w:p w14:paraId="24E7883E">
      <w:pPr>
        <w:spacing w:line="540" w:lineRule="exact"/>
        <w:jc w:val="center"/>
        <w:rPr>
          <w:rFonts w:ascii="方正小标宋_GBK" w:hAnsi="华文中宋" w:eastAsia="方正小标宋_GBK" w:cs="宋体"/>
          <w:b/>
          <w:kern w:val="0"/>
          <w:sz w:val="48"/>
          <w:szCs w:val="48"/>
        </w:rPr>
      </w:pPr>
    </w:p>
    <w:p w14:paraId="1E54BFA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156CA07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0D3B4575">
      <w:pPr>
        <w:spacing w:line="540" w:lineRule="exact"/>
        <w:jc w:val="center"/>
        <w:rPr>
          <w:rFonts w:ascii="华文中宋" w:hAnsi="华文中宋" w:eastAsia="华文中宋" w:cs="宋体"/>
          <w:b/>
          <w:kern w:val="0"/>
          <w:sz w:val="52"/>
          <w:szCs w:val="52"/>
        </w:rPr>
      </w:pPr>
    </w:p>
    <w:p w14:paraId="370F9E96">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7E8C0D2C">
      <w:pPr>
        <w:spacing w:line="540" w:lineRule="exact"/>
        <w:jc w:val="center"/>
        <w:rPr>
          <w:rFonts w:hAnsi="宋体" w:eastAsia="仿宋_GB2312" w:cs="宋体"/>
          <w:kern w:val="0"/>
          <w:sz w:val="30"/>
          <w:szCs w:val="30"/>
        </w:rPr>
      </w:pPr>
    </w:p>
    <w:p w14:paraId="225AC294">
      <w:pPr>
        <w:spacing w:line="540" w:lineRule="exact"/>
        <w:jc w:val="center"/>
        <w:rPr>
          <w:rFonts w:hAnsi="宋体" w:eastAsia="仿宋_GB2312" w:cs="宋体"/>
          <w:kern w:val="0"/>
          <w:sz w:val="30"/>
          <w:szCs w:val="30"/>
        </w:rPr>
      </w:pPr>
    </w:p>
    <w:p w14:paraId="2AF8C8DB">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49628AE6">
      <w:pPr>
        <w:spacing w:line="540" w:lineRule="exact"/>
        <w:jc w:val="center"/>
        <w:rPr>
          <w:rFonts w:hAnsi="宋体" w:eastAsia="仿宋_GB2312" w:cs="宋体"/>
          <w:kern w:val="0"/>
          <w:sz w:val="30"/>
          <w:szCs w:val="30"/>
        </w:rPr>
      </w:pPr>
    </w:p>
    <w:p w14:paraId="6AC22050">
      <w:pPr>
        <w:spacing w:line="540" w:lineRule="exact"/>
        <w:jc w:val="center"/>
        <w:rPr>
          <w:rFonts w:hAnsi="宋体" w:eastAsia="仿宋_GB2312" w:cs="宋体"/>
          <w:kern w:val="0"/>
          <w:sz w:val="30"/>
          <w:szCs w:val="30"/>
        </w:rPr>
      </w:pPr>
    </w:p>
    <w:p w14:paraId="6C9E0204">
      <w:pPr>
        <w:spacing w:line="540" w:lineRule="exact"/>
        <w:jc w:val="center"/>
        <w:rPr>
          <w:rFonts w:hAnsi="宋体" w:eastAsia="仿宋_GB2312" w:cs="宋体"/>
          <w:kern w:val="0"/>
          <w:sz w:val="30"/>
          <w:szCs w:val="30"/>
        </w:rPr>
      </w:pPr>
    </w:p>
    <w:p w14:paraId="4C82139F">
      <w:pPr>
        <w:spacing w:line="540" w:lineRule="exact"/>
        <w:rPr>
          <w:rFonts w:hAnsi="宋体" w:eastAsia="仿宋_GB2312" w:cs="宋体"/>
          <w:kern w:val="0"/>
          <w:sz w:val="30"/>
          <w:szCs w:val="30"/>
        </w:rPr>
      </w:pPr>
    </w:p>
    <w:p w14:paraId="5E9F941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299F9D9">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CF0ADC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119F2CE3">
      <w:pPr>
        <w:spacing w:line="700" w:lineRule="exact"/>
        <w:jc w:val="left"/>
        <w:rPr>
          <w:rFonts w:hAnsi="宋体" w:eastAsia="仿宋_GB2312" w:cs="宋体"/>
          <w:kern w:val="0"/>
          <w:sz w:val="36"/>
          <w:szCs w:val="36"/>
        </w:rPr>
      </w:pPr>
    </w:p>
    <w:p w14:paraId="0F9F3E33">
      <w:pPr>
        <w:spacing w:line="700" w:lineRule="exact"/>
        <w:jc w:val="left"/>
        <w:rPr>
          <w:rFonts w:hAnsi="宋体" w:eastAsia="仿宋_GB2312" w:cs="宋体"/>
          <w:kern w:val="0"/>
          <w:sz w:val="36"/>
          <w:szCs w:val="36"/>
        </w:rPr>
      </w:pPr>
    </w:p>
    <w:p w14:paraId="237DD066">
      <w:pPr>
        <w:spacing w:line="700" w:lineRule="exact"/>
        <w:jc w:val="left"/>
        <w:rPr>
          <w:rFonts w:hAnsi="宋体" w:eastAsia="仿宋_GB2312" w:cs="宋体"/>
          <w:kern w:val="0"/>
          <w:sz w:val="36"/>
          <w:szCs w:val="36"/>
        </w:rPr>
      </w:pPr>
    </w:p>
    <w:p w14:paraId="7BC40B7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2613C93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一、基本概况</w:t>
      </w:r>
      <w:r>
        <w:rPr>
          <w:rFonts w:hint="eastAsia" w:ascii="仿宋_GB2312" w:hAnsi="宋体" w:eastAsia="仿宋_GB2312"/>
          <w:b/>
          <w:sz w:val="32"/>
          <w:szCs w:val="32"/>
        </w:rPr>
        <w:cr/>
      </w:r>
    </w:p>
    <w:p w14:paraId="0430717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14:paraId="16F58E5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14:paraId="19654D4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光荣院成立于1987年，是一所政府投资兴建，专门用于奉养孤老优抚对象社会福利事业单位，现隶属于伊犁州退役军人事务局。根据全国《光荣院管理办法》规定，光荣院的主要职能是收养老年、残疾或者未满16周岁的烈士遗属、因公牺牲军人遗属、病故军人遗属和进入老年的残疾军人及无法定赡养人、抚养人或法定赡养人、抚养人无赡养、抚养能力且享受国家定期优抚补助待遇的复员军人、退伍军人。</w:t>
      </w:r>
      <w:r>
        <w:rPr>
          <w:rFonts w:hint="eastAsia" w:ascii="仿宋_GB2312" w:hAnsi="宋体" w:eastAsia="仿宋_GB2312"/>
          <w:b/>
          <w:sz w:val="32"/>
          <w:szCs w:val="32"/>
        </w:rPr>
        <w:cr/>
      </w:r>
    </w:p>
    <w:p w14:paraId="2AC70F4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1A2C3E2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2187216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伊犁州光荣院无下属预算单位，单位共下设3个处室，分别是：办公室、护理部、后勤部。</w:t>
      </w:r>
      <w:r>
        <w:rPr>
          <w:rFonts w:hint="eastAsia" w:ascii="仿宋_GB2312" w:hAnsi="宋体" w:eastAsia="仿宋_GB2312"/>
          <w:b/>
          <w:sz w:val="32"/>
          <w:szCs w:val="32"/>
        </w:rPr>
        <w:cr/>
      </w:r>
    </w:p>
    <w:p w14:paraId="67F324C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（2）2021年伊犁州光荣院实有在职人员为13人，其中：</w:t>
      </w:r>
      <w:r>
        <w:rPr>
          <w:rFonts w:hint="eastAsia" w:ascii="仿宋_GB2312" w:hAnsi="宋体" w:eastAsia="仿宋_GB2312"/>
          <w:b/>
          <w:sz w:val="32"/>
          <w:szCs w:val="32"/>
        </w:rPr>
        <w:cr/>
      </w:r>
    </w:p>
    <w:p w14:paraId="62FAA6F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行政在职13人（上年13人），同比上年增加0人；</w:t>
      </w:r>
      <w:r>
        <w:rPr>
          <w:rFonts w:hint="eastAsia" w:ascii="仿宋_GB2312" w:hAnsi="宋体" w:eastAsia="仿宋_GB2312"/>
          <w:b/>
          <w:sz w:val="32"/>
          <w:szCs w:val="32"/>
        </w:rPr>
        <w:cr/>
      </w:r>
    </w:p>
    <w:p w14:paraId="13525DE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 同比上年增加0人。</w:t>
      </w:r>
      <w:r>
        <w:rPr>
          <w:rFonts w:hint="eastAsia" w:ascii="仿宋_GB2312" w:hAnsi="宋体" w:eastAsia="仿宋_GB2312"/>
          <w:b/>
          <w:sz w:val="32"/>
          <w:szCs w:val="32"/>
        </w:rPr>
        <w:cr/>
      </w:r>
    </w:p>
    <w:p w14:paraId="06E32C6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实有退休人员13人（上年12人）, 同比上年增加1人。</w:t>
      </w:r>
      <w:r>
        <w:rPr>
          <w:rFonts w:hint="eastAsia" w:ascii="仿宋_GB2312" w:hAnsi="宋体" w:eastAsia="仿宋_GB2312"/>
          <w:b/>
          <w:sz w:val="32"/>
          <w:szCs w:val="32"/>
        </w:rPr>
        <w:cr/>
      </w:r>
    </w:p>
    <w:p w14:paraId="71D3F41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14:paraId="16D8223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（1）尽力优化美化光荣院景观环境，为退役老军人及家属创造舒适的生活条件， 提高服务保障能力。对老年、残疾或者未满16周岁的烈士遗属、因公牺牲军人遗属、病故军人遗属和进入老年的残疾军人、复员军人、退伍军人，无法定赡养人、抚养人或法定赡养人、扶养人无赡养、抚养能力且享受国家定期优抚补助待遇的集中供养对象提供衣食住行、医疗保健、文化娱乐、精神慰藉等保障服务，把党和国家对退役军人的关心关爱落到实处，在社会各界营造关心国防、尊崇军人的浓厚氛围。</w:t>
      </w:r>
      <w:r>
        <w:rPr>
          <w:rFonts w:hint="eastAsia" w:ascii="仿宋_GB2312" w:hAnsi="宋体" w:eastAsia="仿宋_GB2312"/>
          <w:b/>
          <w:sz w:val="32"/>
          <w:szCs w:val="32"/>
        </w:rPr>
        <w:cr/>
      </w:r>
    </w:p>
    <w:p w14:paraId="293FF27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（2）保障部门单位人员发放工资福利支出及运转支出； </w:t>
      </w:r>
      <w:r>
        <w:rPr>
          <w:rFonts w:hint="eastAsia" w:ascii="仿宋_GB2312" w:hAnsi="宋体" w:eastAsia="仿宋_GB2312"/>
          <w:b/>
          <w:sz w:val="32"/>
          <w:szCs w:val="32"/>
        </w:rPr>
        <w:cr/>
      </w:r>
    </w:p>
    <w:p w14:paraId="061B53B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院民生活费项目是对享受国家定期抚恤补助待遇的光荣院集中供养对象给与生活医疗等补助。计划投入64.22万元，当年完成并做好集中供养对象服务保障，关系广大退役军人的切身利益，关系千万退役军人家庭福祉。</w:t>
      </w:r>
      <w:r>
        <w:rPr>
          <w:rFonts w:hint="eastAsia" w:ascii="仿宋_GB2312" w:hAnsi="宋体" w:eastAsia="仿宋_GB2312"/>
          <w:b/>
          <w:sz w:val="32"/>
          <w:szCs w:val="32"/>
        </w:rPr>
        <w:cr/>
      </w:r>
    </w:p>
    <w:p w14:paraId="4E6F527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14:paraId="5FBE857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14:paraId="2BB17AE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光荣院全年预算数为655.41万元，其中：年初批复的财政拨款为235.99万元，年中追加资金419.42万元，调整率177.73%。对比上年1606.89万元减少951.48万元，下降59.21%。2021年实际决算支出650.78万元，执行率100.00%，其中：</w:t>
      </w:r>
      <w:r>
        <w:rPr>
          <w:rFonts w:hint="eastAsia" w:ascii="仿宋_GB2312" w:hAnsi="宋体" w:eastAsia="仿宋_GB2312"/>
          <w:b/>
          <w:sz w:val="32"/>
          <w:szCs w:val="32"/>
        </w:rPr>
        <w:cr/>
      </w:r>
    </w:p>
    <w:p w14:paraId="6EDDD5C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177.56万元，占总支出的27.28％，主要用于伊犁州光荣院机构正常运转、完成日常工作任务而发生的各项支出。其中：工资福利支出156.83万元，主要用于在职和离退休人员基本工资、津贴补贴等人员经费。商品和服务支出15.41万元，主要用于办公费、印刷费、水电费、办公设备购置等。对个人和家庭的补助5.32万元，主要用于退休费、抚恤金、生活补助、医疗补助、奖励金等。  </w:t>
      </w:r>
      <w:r>
        <w:rPr>
          <w:rFonts w:hint="eastAsia" w:ascii="仿宋_GB2312" w:hAnsi="宋体" w:eastAsia="仿宋_GB2312"/>
          <w:b/>
          <w:sz w:val="32"/>
          <w:szCs w:val="32"/>
        </w:rPr>
        <w:cr/>
      </w:r>
    </w:p>
    <w:p w14:paraId="1C90AEB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473.23万元，占总支出的72.72％。其中：院民生活费项目安排63.59万元，主要用于我院集中供养老人在院生活补助开支51.48万元、医疗补助开支11.41万元、采暖补助开支0.70万元的支付，为我院集中供养人员保障了他们饮食起居。在饮食上，荤素搭配，营养均衡；在生活上，打饭、洗衣、理发、剪指甲等，面面俱到，确保老人们的生活安全有保障；在医疗上，与解放军946医院建立绿色通道，让他们小病不担心，大病有保障，并为他们购买所需药品。使老人们在我院老有所依、病有所医，让他们有荣誉感、归属感；</w:t>
      </w:r>
      <w:r>
        <w:rPr>
          <w:rFonts w:hint="eastAsia" w:ascii="仿宋_GB2312" w:hAnsi="宋体" w:eastAsia="仿宋_GB2312"/>
          <w:b/>
          <w:sz w:val="32"/>
          <w:szCs w:val="32"/>
        </w:rPr>
        <w:cr/>
      </w:r>
    </w:p>
    <w:p w14:paraId="7A5B625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康复中心餐厅配套项目安排72.79万元，主要用于根据伊宁市总体规划，食堂拟建于伊犁州光荣院内东边围墙处，计划建筑总面积1944㎡，地上三层框架结构，可同时容纳400人就餐，切实保障好退役军人的集中休养生活。军疗中心附属餐厅工程项目于2020年12月竣工验收，该项目用于支付支付军疗中心附属餐厅工程尾款66.68万元，餐厅工程咨询费2.79万元，餐厅工程监理费3.32万元，确保该项目正常运转；  </w:t>
      </w:r>
      <w:r>
        <w:rPr>
          <w:rFonts w:hint="eastAsia" w:ascii="仿宋_GB2312" w:hAnsi="宋体" w:eastAsia="仿宋_GB2312"/>
          <w:b/>
          <w:sz w:val="32"/>
          <w:szCs w:val="32"/>
        </w:rPr>
        <w:cr/>
      </w:r>
    </w:p>
    <w:p w14:paraId="7E86631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伤残军人康复中心标准化建设项目安排336.84万元，主要用于做好军疗中心标准化建设项目，其中包括室外景观提审工程、1-3层文化墙打造工程、荣誉室打造、军疗中心附属餐厅及附属餐厅室外管网工程、军疗中心室外消防管道工程及围墙改造工程。并完善好军疗中心楼内配套设施配件，进一步加强退役军人事务系统标准化建设，切实提高退役军人服务保障能力，尽快推进州光荣院伤残军人康复疗养中心投入运行。提升伤残军人老有所养，老有所乐的供养条件，打造集养老、休闲、健身、集会为一体的公园式宜居环境。 </w:t>
      </w:r>
      <w:r>
        <w:rPr>
          <w:rFonts w:hint="eastAsia" w:ascii="仿宋_GB2312" w:hAnsi="宋体" w:eastAsia="仿宋_GB2312"/>
          <w:b/>
          <w:sz w:val="32"/>
          <w:szCs w:val="32"/>
        </w:rPr>
        <w:cr/>
      </w:r>
    </w:p>
    <w:p w14:paraId="2951DF0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（3）本年度重点项目支出336.84万元，重点支出保障率71.18%。其中重点保障项目是伤残军人康复中心标准化建设项目。</w:t>
      </w:r>
      <w:r>
        <w:rPr>
          <w:rFonts w:hint="eastAsia" w:ascii="仿宋_GB2312" w:hAnsi="宋体" w:eastAsia="仿宋_GB2312"/>
          <w:b/>
          <w:sz w:val="32"/>
          <w:szCs w:val="32"/>
        </w:rPr>
        <w:cr/>
      </w:r>
    </w:p>
    <w:p w14:paraId="150B188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（4）本年度我单位全年政府采购预算36.40万元,实际用于政府采购金额36.40万元，采购执行率100.00%。</w:t>
      </w:r>
      <w:r>
        <w:rPr>
          <w:rFonts w:hint="eastAsia" w:ascii="仿宋_GB2312" w:hAnsi="宋体" w:eastAsia="仿宋_GB2312"/>
          <w:b/>
          <w:sz w:val="32"/>
          <w:szCs w:val="32"/>
        </w:rPr>
        <w:cr/>
      </w:r>
    </w:p>
    <w:p w14:paraId="2FD0E32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14:paraId="719E751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14:paraId="75A561C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单位整体支出绩效自评采用因素分析法，是指通过综合分析影响绩效目标实现、实施效果的内外因素，计算投入产出比的方法。原因是：伊犁州光荣院可通过综合分析，实现绩效目标的产出结果，保留真实，从而获得客观事物的一般本质。</w:t>
      </w:r>
      <w:r>
        <w:rPr>
          <w:rFonts w:hint="eastAsia" w:ascii="仿宋_GB2312" w:hAnsi="宋体" w:eastAsia="仿宋_GB2312"/>
          <w:b/>
          <w:sz w:val="32"/>
          <w:szCs w:val="32"/>
        </w:rPr>
        <w:cr/>
      </w:r>
    </w:p>
    <w:p w14:paraId="5F07C1F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14:paraId="34F7C7E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14:paraId="0EE52E4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14:paraId="67D16B7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4CE3B49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1FC2019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14:paraId="0185BEB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涉及对象：本次评价对象是伊犁州光荣院所有财政资金支出活动。</w:t>
      </w:r>
      <w:r>
        <w:rPr>
          <w:rFonts w:hint="eastAsia" w:ascii="仿宋_GB2312" w:hAnsi="宋体" w:eastAsia="仿宋_GB2312"/>
          <w:b/>
          <w:sz w:val="32"/>
          <w:szCs w:val="32"/>
        </w:rPr>
        <w:cr/>
      </w:r>
    </w:p>
    <w:p w14:paraId="5C58370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14:paraId="7957160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①基本支出178.38万元，其中：工资福利支出、商品和服务支出、对个人和家庭的补助支出。</w:t>
      </w:r>
      <w:r>
        <w:rPr>
          <w:rFonts w:hint="eastAsia" w:ascii="仿宋_GB2312" w:hAnsi="宋体" w:eastAsia="仿宋_GB2312"/>
          <w:b/>
          <w:sz w:val="32"/>
          <w:szCs w:val="32"/>
        </w:rPr>
        <w:cr/>
      </w:r>
    </w:p>
    <w:p w14:paraId="73672863">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②项目支出477.03万元，其中：院民生活费项目64.22万元、康复中心餐厅配套项目72.79万元、伤残军人康复中心标准化建设项目340.02万元。</w:t>
      </w:r>
      <w:bookmarkStart w:id="0" w:name="_Hlk43849111"/>
      <w:bookmarkEnd w:id="0"/>
    </w:p>
    <w:p w14:paraId="24E31B14">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30D99965">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二、部门单位整体支出管理及使用情况</w:t>
      </w:r>
      <w:r>
        <w:rPr>
          <w:rFonts w:hint="eastAsia" w:ascii="仿宋_GB2312" w:hAnsi="宋体" w:eastAsia="仿宋_GB2312"/>
          <w:b/>
          <w:sz w:val="32"/>
          <w:szCs w:val="32"/>
        </w:rPr>
        <w:cr/>
      </w:r>
    </w:p>
    <w:p w14:paraId="3B2F24D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（一）预算管理</w:t>
      </w:r>
      <w:r>
        <w:rPr>
          <w:rFonts w:hint="eastAsia" w:ascii="仿宋_GB2312" w:hAnsi="宋体" w:eastAsia="仿宋_GB2312"/>
          <w:b/>
          <w:sz w:val="32"/>
          <w:szCs w:val="32"/>
        </w:rPr>
        <w:cr/>
      </w:r>
    </w:p>
    <w:p w14:paraId="3CD4976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14:paraId="405A965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否充分的条件下，切实做好“先定目标再编预算”，确保预算分配结果合理。同时按照伊犁州财政局要求，部门预算及绩效目标在伊犁塞外江南网公开，广泛接受社会监督。2、预算支出管理</w:t>
      </w:r>
      <w:r>
        <w:rPr>
          <w:rFonts w:hint="eastAsia" w:ascii="仿宋_GB2312" w:hAnsi="宋体" w:eastAsia="仿宋_GB2312"/>
          <w:b/>
          <w:sz w:val="32"/>
          <w:szCs w:val="32"/>
        </w:rPr>
        <w:cr/>
      </w:r>
    </w:p>
    <w:p w14:paraId="75FA2D8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14:paraId="02D8B68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退役军人事务局《专项资金管理办法》相关规定和规定流程，资金支出按照我内控体系中设定的流程申报审批进行；项目支出属于政府采购的，按照局财政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14:paraId="68A4C85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14:paraId="26E6FEA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178.38万元，实际到位178.38万元,实际支出177.56万元，占总支出的27.28％，其中：工资福利支出156.83万元、商品和服务支出15.41万元、对个人和家庭的补助5.32万元、主要用于退休费、抚恤金、生活补助、医疗补助、奖励金等。</w:t>
      </w:r>
      <w:r>
        <w:rPr>
          <w:rFonts w:hint="eastAsia" w:ascii="仿宋_GB2312" w:hAnsi="宋体" w:eastAsia="仿宋_GB2312"/>
          <w:b/>
          <w:sz w:val="32"/>
          <w:szCs w:val="32"/>
        </w:rPr>
        <w:cr/>
      </w:r>
    </w:p>
    <w:p w14:paraId="1D08531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2021年基本支出比上年195.08万元,减少17.53万元，下降8.99%，支出减少的主要原因是在职人员减少2名。</w:t>
      </w:r>
      <w:r>
        <w:rPr>
          <w:rFonts w:hint="eastAsia" w:ascii="仿宋_GB2312" w:hAnsi="宋体" w:eastAsia="仿宋_GB2312"/>
          <w:b/>
          <w:sz w:val="32"/>
          <w:szCs w:val="32"/>
        </w:rPr>
        <w:cr/>
      </w:r>
    </w:p>
    <w:p w14:paraId="1122B08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2021年一般公共预算“三公”经费数为1.15万元，其中：因公出国（境）费0万元，公务用车购置0万元，公务用车运行费1.15万元，公务接待费0万元。</w:t>
      </w:r>
      <w:r>
        <w:rPr>
          <w:rFonts w:hint="eastAsia" w:ascii="仿宋_GB2312" w:hAnsi="宋体" w:eastAsia="仿宋_GB2312"/>
          <w:b/>
          <w:sz w:val="32"/>
          <w:szCs w:val="32"/>
        </w:rPr>
        <w:cr/>
      </w:r>
    </w:p>
    <w:p w14:paraId="63BFEA0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0万元，本年及上年均未安排预算；公务用车购置费为0，本年及上年均未安排预算；公务用车运行费增加0万元，主要原因是无变动；公务接待费增加0万元，主要原因是本年及上年均未安排预算。</w:t>
      </w:r>
      <w:r>
        <w:rPr>
          <w:rFonts w:hint="eastAsia" w:ascii="仿宋_GB2312" w:hAnsi="宋体" w:eastAsia="仿宋_GB2312"/>
          <w:b/>
          <w:sz w:val="32"/>
          <w:szCs w:val="32"/>
        </w:rPr>
        <w:cr/>
      </w:r>
    </w:p>
    <w:p w14:paraId="69ABBB1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14:paraId="000D837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14:paraId="5C4EB7A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2021年预算安排专项资金477.03万元，实际到位477.03万元, 到位率100.00％,其中:中央转移支付项目资金0万元，自治区资金0万元，本级安排477.03万元。</w:t>
      </w:r>
      <w:r>
        <w:rPr>
          <w:rFonts w:hint="eastAsia" w:ascii="仿宋_GB2312" w:hAnsi="宋体" w:eastAsia="仿宋_GB2312"/>
          <w:b/>
          <w:sz w:val="32"/>
          <w:szCs w:val="32"/>
        </w:rPr>
        <w:cr/>
      </w:r>
    </w:p>
    <w:p w14:paraId="5D504FD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14:paraId="2933C28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473.23万元，占总支出的72.72%，其中2021年专项项目支出比上年1411.81万元减少938.58万元，下降66.48%。支出减少的主要原因是2020年有中央安排补助资金及上年结转结余项目资金，2021年未安排。其中：院民生活费项目安排63.59万元，主要用于我院集中供养老人在院生活补助开支51.48万元、医疗补助开支11.41万元、采暖补助开支0.70万元的支付，为我院集中供养人员保障了他们饮食起居。在饮食上，荤素搭配，营养均衡；在生活上，打饭、洗衣、理发、剪指甲等，面面俱到，确保老人们的生活安全有保障；在医疗上，与解放军946医院建立绿色通道，让他们小病不担心，大病有保障，并为他们购买所需药品。使老人们在我院老有所依、病有所医，让他们有荣誉感、归属感；</w:t>
      </w:r>
      <w:r>
        <w:rPr>
          <w:rFonts w:hint="eastAsia" w:ascii="仿宋_GB2312" w:hAnsi="宋体" w:eastAsia="仿宋_GB2312"/>
          <w:b/>
          <w:sz w:val="32"/>
          <w:szCs w:val="32"/>
        </w:rPr>
        <w:cr/>
      </w:r>
    </w:p>
    <w:p w14:paraId="5DBF925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康复中心餐厅配套项目安排72.79万元，主要用于根据伊宁市总体规划，食堂拟建于伊犁州光荣院内东边围墙处，计划建筑总面积1944㎡，地上三层框架结构，可同时容纳400人就餐，切实保障好退役军人的集中休养生活。军疗中心附属餐厅工程项目于2020年12月竣工验收，该项目用于支付支付军疗中心附属餐厅工程尾款66.68万元，餐厅工程咨询费2.79万元，餐厅工程监理费3.32万元，确保该项目正常运转；  </w:t>
      </w:r>
      <w:r>
        <w:rPr>
          <w:rFonts w:hint="eastAsia" w:ascii="仿宋_GB2312" w:hAnsi="宋体" w:eastAsia="仿宋_GB2312"/>
          <w:b/>
          <w:sz w:val="32"/>
          <w:szCs w:val="32"/>
        </w:rPr>
        <w:cr/>
      </w:r>
    </w:p>
    <w:p w14:paraId="30DC460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伤残军人康复中心标准化建设项目安排336.84万元，主要用于做好军疗中心标准化建设项目，其中包括室外景观提审工程、1-3层文化墙打造工程、荣誉室打造、军疗中心附属餐厅及附属餐厅室外管网工程、军疗中心室外消防管道工程及围墙改造工程。并完善好军疗中心楼内配套设施配件，进一步加强退役军人事务系统标准化建设，切实提高退役军人服务保障能力，尽快推进州光荣院伤残军人康复疗养中心投入运行。提升伤残军人老有所养，老有所乐的供养条件，打造集养老、休闲、健身、集会为一体的公园式宜居环境。 </w:t>
      </w:r>
      <w:r>
        <w:rPr>
          <w:rFonts w:hint="eastAsia" w:ascii="仿宋_GB2312" w:hAnsi="宋体" w:eastAsia="仿宋_GB2312"/>
          <w:b/>
          <w:sz w:val="32"/>
          <w:szCs w:val="32"/>
        </w:rPr>
        <w:cr/>
      </w:r>
    </w:p>
    <w:p w14:paraId="477513D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14:paraId="1048F19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为为规范专项资金使用，提高专项资金使用效益，我单位主要采取四项措施。</w:t>
      </w:r>
      <w:r>
        <w:rPr>
          <w:rFonts w:hint="eastAsia" w:ascii="仿宋_GB2312" w:hAnsi="宋体" w:eastAsia="仿宋_GB2312"/>
          <w:b/>
          <w:sz w:val="32"/>
          <w:szCs w:val="32"/>
        </w:rPr>
        <w:cr/>
      </w:r>
    </w:p>
    <w:p w14:paraId="326DC42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14:paraId="00A9448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优抚对象补助》及项目资金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14:paraId="18407B4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（2）建立《优抚对象补助》专项资金专帐，做到有据可依，有据可查。</w:t>
      </w:r>
      <w:r>
        <w:rPr>
          <w:rFonts w:hint="eastAsia" w:ascii="仿宋_GB2312" w:hAnsi="宋体" w:eastAsia="仿宋_GB2312"/>
          <w:b/>
          <w:sz w:val="32"/>
          <w:szCs w:val="32"/>
        </w:rPr>
        <w:cr/>
      </w:r>
    </w:p>
    <w:p w14:paraId="7A290E0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（3）制订了院民生活费、军疗中心附属项目建设实施方案，确保项目确保流程规范顺利实施。。</w:t>
      </w:r>
      <w:r>
        <w:rPr>
          <w:rFonts w:hint="eastAsia" w:ascii="仿宋_GB2312" w:hAnsi="宋体" w:eastAsia="仿宋_GB2312"/>
          <w:b/>
          <w:sz w:val="32"/>
          <w:szCs w:val="32"/>
        </w:rPr>
        <w:cr/>
      </w:r>
    </w:p>
    <w:p w14:paraId="681FC71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（4）认真组织院民生活费、军疗中心附属项目建设项目验收，确保提供项目补助资金的使用效益，提升项目服务水平。。</w:t>
      </w:r>
      <w:r>
        <w:rPr>
          <w:rFonts w:hint="eastAsia" w:ascii="仿宋_GB2312" w:hAnsi="宋体" w:eastAsia="仿宋_GB2312"/>
          <w:b/>
          <w:sz w:val="32"/>
          <w:szCs w:val="32"/>
        </w:rPr>
        <w:cr/>
      </w:r>
    </w:p>
    <w:p w14:paraId="1F7B36E5">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专项资金涉及政府采购项目的，按照财政局《政府采购与招标管理办法》组织人员制定采购计划，按照财政局采购部门批复，进行公开招标方式进行。</w:t>
      </w:r>
    </w:p>
    <w:p w14:paraId="1C7C531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3DAE2653">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三、部门单位专项组织实施情况</w:t>
      </w:r>
      <w:r>
        <w:rPr>
          <w:rFonts w:hint="eastAsia" w:ascii="仿宋_GB2312" w:hAnsi="宋体" w:eastAsia="仿宋_GB2312"/>
          <w:b/>
          <w:sz w:val="32"/>
          <w:szCs w:val="32"/>
        </w:rPr>
        <w:cr/>
      </w:r>
    </w:p>
    <w:p w14:paraId="2F1FAD8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w:t>
      </w:r>
      <w:r>
        <w:rPr>
          <w:rFonts w:hint="eastAsia" w:ascii="仿宋_GB2312" w:hAnsi="宋体" w:eastAsia="仿宋_GB2312"/>
          <w:b/>
          <w:sz w:val="32"/>
          <w:szCs w:val="32"/>
        </w:rPr>
        <w:tab/>
      </w:r>
      <w:r>
        <w:rPr>
          <w:rFonts w:hint="eastAsia" w:ascii="仿宋_GB2312" w:hAnsi="宋体" w:eastAsia="仿宋_GB2312"/>
          <w:b/>
          <w:sz w:val="32"/>
          <w:szCs w:val="32"/>
        </w:rPr>
        <w:t>专项组织情况分析</w:t>
      </w:r>
      <w:r>
        <w:rPr>
          <w:rFonts w:hint="eastAsia" w:ascii="仿宋_GB2312" w:hAnsi="宋体" w:eastAsia="仿宋_GB2312"/>
          <w:b/>
          <w:sz w:val="32"/>
          <w:szCs w:val="32"/>
        </w:rPr>
        <w:cr/>
      </w:r>
    </w:p>
    <w:p w14:paraId="6D52173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14:paraId="4475804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伊犁州光荣院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14:paraId="23813DC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14:paraId="3B49F8F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w:t>
      </w:r>
      <w:r>
        <w:rPr>
          <w:rFonts w:hint="eastAsia" w:ascii="仿宋_GB2312" w:hAnsi="宋体" w:eastAsia="仿宋_GB2312"/>
          <w:b/>
          <w:sz w:val="32"/>
          <w:szCs w:val="32"/>
        </w:rPr>
        <w:cr/>
      </w:r>
    </w:p>
    <w:p w14:paraId="2C3F13B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14:paraId="42BDD55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不存在截留、挪用，支付审批不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14:paraId="08999FE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p>
    <w:p w14:paraId="3231B2A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w:t>
      </w:r>
      <w:r>
        <w:rPr>
          <w:rFonts w:hint="eastAsia" w:ascii="仿宋_GB2312" w:hAnsi="宋体" w:eastAsia="仿宋_GB2312"/>
          <w:b/>
          <w:sz w:val="32"/>
          <w:szCs w:val="32"/>
        </w:rPr>
        <w:tab/>
      </w:r>
      <w:r>
        <w:rPr>
          <w:rFonts w:hint="eastAsia" w:ascii="仿宋_GB2312" w:hAnsi="宋体" w:eastAsia="仿宋_GB2312"/>
          <w:b/>
          <w:sz w:val="32"/>
          <w:szCs w:val="32"/>
        </w:rPr>
        <w:t>专项管理情况分析</w:t>
      </w:r>
      <w:r>
        <w:rPr>
          <w:rFonts w:hint="eastAsia" w:ascii="仿宋_GB2312" w:hAnsi="宋体" w:eastAsia="仿宋_GB2312"/>
          <w:b/>
          <w:sz w:val="32"/>
          <w:szCs w:val="32"/>
        </w:rPr>
        <w:cr/>
      </w:r>
    </w:p>
    <w:p w14:paraId="4A37BD1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14:paraId="70394F6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477.03万元，实际到位477.03万元，资金到位率100.00%。截止到2021年12月31日执行473.23万元，执行率99.20%。其中：2021年结转专项资金412.81万元，实际执行409.63万元，执行率为99.23%；2021年新增专项资金64.22万元，实际执行63.59万元，执行率为99.02%。</w:t>
      </w:r>
      <w:r>
        <w:rPr>
          <w:rFonts w:hint="eastAsia" w:ascii="仿宋_GB2312" w:hAnsi="宋体" w:eastAsia="仿宋_GB2312"/>
          <w:b/>
          <w:sz w:val="32"/>
          <w:szCs w:val="32"/>
        </w:rPr>
        <w:cr/>
      </w:r>
    </w:p>
    <w:p w14:paraId="624A44F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14:paraId="6DB74CE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项目实施情况分析。</w:t>
      </w:r>
      <w:r>
        <w:rPr>
          <w:rFonts w:hint="eastAsia" w:ascii="仿宋_GB2312" w:hAnsi="宋体" w:eastAsia="仿宋_GB2312"/>
          <w:b/>
          <w:sz w:val="32"/>
          <w:szCs w:val="32"/>
        </w:rPr>
        <w:cr/>
      </w:r>
    </w:p>
    <w:p w14:paraId="66562BE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w:t>
      </w:r>
      <w:r>
        <w:rPr>
          <w:rFonts w:hint="eastAsia" w:ascii="仿宋_GB2312" w:hAnsi="宋体" w:eastAsia="仿宋_GB2312"/>
          <w:b/>
          <w:sz w:val="32"/>
          <w:szCs w:val="32"/>
        </w:rPr>
        <w:tab/>
      </w:r>
      <w:r>
        <w:rPr>
          <w:rFonts w:hint="eastAsia" w:ascii="仿宋_GB2312" w:hAnsi="宋体" w:eastAsia="仿宋_GB2312"/>
          <w:b/>
          <w:sz w:val="32"/>
          <w:szCs w:val="32"/>
        </w:rPr>
        <w:t>项目实施情况分析</w:t>
      </w:r>
      <w:r>
        <w:rPr>
          <w:rFonts w:hint="eastAsia" w:ascii="仿宋_GB2312" w:hAnsi="宋体" w:eastAsia="仿宋_GB2312"/>
          <w:b/>
          <w:sz w:val="32"/>
          <w:szCs w:val="32"/>
        </w:rPr>
        <w:cr/>
      </w:r>
    </w:p>
    <w:p w14:paraId="3B2E156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126C722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光荣院，根据2021年3个项目的绩效目标及工作内容，将其细化分工至本单位2个负责人，加强组织领导，明确分工，各司其职，抓好工作目标任务的落实完成，同时年中要求2个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2804814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14:paraId="6E4E29D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伊犁州光荣院，实施的3个项目，由相关业务部门指派专人进行全过程跟踪管理，2个负责人统筹推进项目实施，单位领导不定期对项目进度进行调度，并对项目质量进行控制。</w:t>
      </w:r>
      <w:r>
        <w:rPr>
          <w:rFonts w:hint="eastAsia" w:ascii="仿宋_GB2312" w:hAnsi="宋体" w:eastAsia="仿宋_GB2312"/>
          <w:b/>
          <w:sz w:val="32"/>
          <w:szCs w:val="32"/>
        </w:rPr>
        <w:cr/>
      </w:r>
    </w:p>
    <w:p w14:paraId="1672C11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14:paraId="4DE4C5B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光荣院办公室主任王双雁及后勤部主任阿不都许库尔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14:paraId="716C9E6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w:t>
      </w:r>
      <w:r>
        <w:rPr>
          <w:rFonts w:hint="eastAsia" w:ascii="仿宋_GB2312" w:hAnsi="宋体" w:eastAsia="仿宋_GB2312"/>
          <w:b/>
          <w:sz w:val="32"/>
          <w:szCs w:val="32"/>
        </w:rPr>
        <w:tab/>
      </w:r>
      <w:r>
        <w:rPr>
          <w:rFonts w:hint="eastAsia" w:ascii="仿宋_GB2312" w:hAnsi="宋体" w:eastAsia="仿宋_GB2312"/>
          <w:b/>
          <w:sz w:val="32"/>
          <w:szCs w:val="32"/>
        </w:rPr>
        <w:t>绩效情况分析</w:t>
      </w:r>
      <w:r>
        <w:rPr>
          <w:rFonts w:hint="eastAsia" w:ascii="仿宋_GB2312" w:hAnsi="宋体" w:eastAsia="仿宋_GB2312"/>
          <w:b/>
          <w:sz w:val="32"/>
          <w:szCs w:val="32"/>
        </w:rPr>
        <w:cr/>
      </w:r>
    </w:p>
    <w:p w14:paraId="3E9D274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14:paraId="3F626C4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光荣院，所涉及专项项目均已于专项资金下达后按照资金文件及绩效管理要求设置《项目绩效目标表》。3个专项项目预算总额为477.03万元，在项目实施过程中，业务人员加强项目管理，合理控制项目成本，截止项目结束，3个项目总成本为473.23万元，不存在超支情况。</w:t>
      </w:r>
      <w:r>
        <w:rPr>
          <w:rFonts w:hint="eastAsia" w:ascii="仿宋_GB2312" w:hAnsi="宋体" w:eastAsia="仿宋_GB2312"/>
          <w:b/>
          <w:sz w:val="32"/>
          <w:szCs w:val="32"/>
        </w:rPr>
        <w:cr/>
      </w:r>
    </w:p>
    <w:p w14:paraId="60668B8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14:paraId="471DB14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伊犁州光荣院，所涉及专项项目使用资金比专项项目总预算减少    3.8万元，项目节约率为0.80%。</w:t>
      </w:r>
      <w:r>
        <w:rPr>
          <w:rFonts w:hint="eastAsia" w:ascii="仿宋_GB2312" w:hAnsi="宋体" w:eastAsia="仿宋_GB2312"/>
          <w:b/>
          <w:sz w:val="32"/>
          <w:szCs w:val="32"/>
        </w:rPr>
        <w:cr/>
      </w:r>
    </w:p>
    <w:p w14:paraId="15778C7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w:t>
      </w:r>
      <w:r>
        <w:rPr>
          <w:rFonts w:hint="eastAsia" w:ascii="仿宋_GB2312" w:hAnsi="宋体" w:eastAsia="仿宋_GB2312"/>
          <w:b/>
          <w:sz w:val="32"/>
          <w:szCs w:val="32"/>
        </w:rPr>
        <w:tab/>
      </w:r>
      <w:r>
        <w:rPr>
          <w:rFonts w:hint="eastAsia" w:ascii="仿宋_GB2312" w:hAnsi="宋体" w:eastAsia="仿宋_GB2312"/>
          <w:b/>
          <w:sz w:val="32"/>
          <w:szCs w:val="32"/>
        </w:rPr>
        <w:t>项目效率性分析</w:t>
      </w:r>
      <w:r>
        <w:rPr>
          <w:rFonts w:hint="eastAsia" w:ascii="仿宋_GB2312" w:hAnsi="宋体" w:eastAsia="仿宋_GB2312"/>
          <w:b/>
          <w:sz w:val="32"/>
          <w:szCs w:val="32"/>
        </w:rPr>
        <w:cr/>
      </w:r>
    </w:p>
    <w:p w14:paraId="3E35ECA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30DB398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2021年伊犁州光荣院共涉及专项项目3个，截止到2021年底，通过专项项目实施过程中的有效监督，我单位按预期完成了3个专项的各项专项任务，项目总体完成率为101.20%。</w:t>
      </w:r>
      <w:r>
        <w:rPr>
          <w:rFonts w:hint="eastAsia" w:ascii="仿宋_GB2312" w:hAnsi="宋体" w:eastAsia="仿宋_GB2312"/>
          <w:b/>
          <w:sz w:val="32"/>
          <w:szCs w:val="32"/>
        </w:rPr>
        <w:cr/>
      </w:r>
    </w:p>
    <w:p w14:paraId="5DE5C0C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14:paraId="35F47B9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3个专项项目完成质量情况如下：</w:t>
      </w:r>
      <w:r>
        <w:rPr>
          <w:rFonts w:hint="eastAsia" w:ascii="仿宋_GB2312" w:hAnsi="宋体" w:eastAsia="仿宋_GB2312"/>
          <w:b/>
          <w:sz w:val="32"/>
          <w:szCs w:val="32"/>
        </w:rPr>
        <w:cr/>
      </w:r>
    </w:p>
    <w:p w14:paraId="62562BC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院民生活费项目完成63.59万元，主要用于我院集中供养老人在院生活补助开支51.48万元、医疗补助开支11.41万元、采暖补助开支0.70万元的支付，为我院集中供养人员保障了他们饮食起居。在饮食上，荤素搭配，营养均衡；在生活上，打饭、洗衣、理发、剪指甲等，面面俱到，确保老人们的生活安全有保障；在医疗上，与解放军946医院建立绿色通道，让他们小病不担心，大病有保障，并为他们购买所需药品。使老人们在我院老有所依、病有所医，让他们有荣誉感、归属感；</w:t>
      </w:r>
      <w:r>
        <w:rPr>
          <w:rFonts w:hint="eastAsia" w:ascii="仿宋_GB2312" w:hAnsi="宋体" w:eastAsia="仿宋_GB2312"/>
          <w:b/>
          <w:sz w:val="32"/>
          <w:szCs w:val="32"/>
        </w:rPr>
        <w:cr/>
      </w:r>
    </w:p>
    <w:p w14:paraId="53C52C2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②康复中心餐厅配套项目完成72.79万元，主要用于根据伊宁市总体规划，食堂拟建于伊犁州光荣院内东边围墙处，计划建筑总面积1944㎡，地上三层框架结构，可同时容纳400人就餐，切实保障好退役军人的集中休养生活。军疗中心附属餐厅工程项目于2020年12月竣工验收，该项目用于支付支付军疗中心附属餐厅工程尾款66.68万元，餐厅工程咨询费2.79万元，餐厅工程监理费3.32万元，确保该项目正常运转；  </w:t>
      </w:r>
      <w:r>
        <w:rPr>
          <w:rFonts w:hint="eastAsia" w:ascii="仿宋_GB2312" w:hAnsi="宋体" w:eastAsia="仿宋_GB2312"/>
          <w:b/>
          <w:sz w:val="32"/>
          <w:szCs w:val="32"/>
        </w:rPr>
        <w:cr/>
      </w:r>
    </w:p>
    <w:p w14:paraId="21E8961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伤残军人康复中心标准化建设项目完成336.84万元，主要用于做好军疗中心标准化建设项目，其中包括室外景观提审工程、1-3层文化墙打造工程、荣誉室打造、军疗中心附属餐厅及附属餐厅室外管网工程、军疗中心室外消防管道工程</w:t>
      </w:r>
      <w:bookmarkStart w:id="1" w:name="_GoBack"/>
      <w:bookmarkEnd w:id="1"/>
      <w:r>
        <w:rPr>
          <w:rFonts w:hint="eastAsia" w:ascii="仿宋_GB2312" w:hAnsi="宋体" w:eastAsia="仿宋_GB2312"/>
          <w:b/>
          <w:sz w:val="32"/>
          <w:szCs w:val="32"/>
        </w:rPr>
        <w:t xml:space="preserve">及围墙改造工程。并完善好军疗中心楼内配套设施配件，进一步加强退役军人事务系统标准化建设，切实提高退役军人服务保障能力，尽快推进州光荣院伤残军人康复疗养中心投入运行。提升伤残军人老有所养，老有所乐的供养条件，打造集养老、休闲、健身、集会为一体的公园式宜居环境。 </w:t>
      </w:r>
      <w:r>
        <w:rPr>
          <w:rFonts w:hint="eastAsia" w:ascii="仿宋_GB2312" w:hAnsi="宋体" w:eastAsia="仿宋_GB2312"/>
          <w:b/>
          <w:sz w:val="32"/>
          <w:szCs w:val="32"/>
        </w:rPr>
        <w:cr/>
      </w:r>
    </w:p>
    <w:p w14:paraId="5A33F83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w:t>
      </w:r>
      <w:r>
        <w:rPr>
          <w:rFonts w:hint="eastAsia" w:ascii="仿宋_GB2312" w:hAnsi="宋体" w:eastAsia="仿宋_GB2312"/>
          <w:b/>
          <w:sz w:val="32"/>
          <w:szCs w:val="32"/>
        </w:rPr>
        <w:tab/>
      </w:r>
      <w:r>
        <w:rPr>
          <w:rFonts w:hint="eastAsia" w:ascii="仿宋_GB2312" w:hAnsi="宋体" w:eastAsia="仿宋_GB2312"/>
          <w:b/>
          <w:sz w:val="32"/>
          <w:szCs w:val="32"/>
        </w:rPr>
        <w:t>项目效益性分析</w:t>
      </w:r>
      <w:r>
        <w:rPr>
          <w:rFonts w:hint="eastAsia" w:ascii="仿宋_GB2312" w:hAnsi="宋体" w:eastAsia="仿宋_GB2312"/>
          <w:b/>
          <w:sz w:val="32"/>
          <w:szCs w:val="32"/>
        </w:rPr>
        <w:cr/>
      </w:r>
    </w:p>
    <w:p w14:paraId="5D7F8D7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3个专项项目预期目标完成程度、实施对经济和社会的影响如下：</w:t>
      </w:r>
      <w:r>
        <w:rPr>
          <w:rFonts w:hint="eastAsia" w:ascii="仿宋_GB2312" w:hAnsi="宋体" w:eastAsia="仿宋_GB2312"/>
          <w:b/>
          <w:sz w:val="32"/>
          <w:szCs w:val="32"/>
        </w:rPr>
        <w:cr/>
      </w:r>
    </w:p>
    <w:p w14:paraId="6F3A0D9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1、院民生活费项目在社会各界营造关心国防、尊崇退役军人的浓厚氛围并为改革发展和社会稳定作出积极贡献；</w:t>
      </w:r>
      <w:r>
        <w:rPr>
          <w:rFonts w:hint="eastAsia" w:ascii="仿宋_GB2312" w:hAnsi="宋体" w:eastAsia="仿宋_GB2312"/>
          <w:b/>
          <w:sz w:val="32"/>
          <w:szCs w:val="32"/>
        </w:rPr>
        <w:cr/>
      </w:r>
    </w:p>
    <w:p w14:paraId="559AB5E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2康复中心餐厅配套项目使军疗中心附属餐厅正常运转率达到100.00%；</w:t>
      </w:r>
      <w:r>
        <w:rPr>
          <w:rFonts w:hint="eastAsia" w:ascii="仿宋_GB2312" w:hAnsi="宋体" w:eastAsia="仿宋_GB2312"/>
          <w:b/>
          <w:sz w:val="32"/>
          <w:szCs w:val="32"/>
        </w:rPr>
        <w:cr/>
      </w:r>
    </w:p>
    <w:p w14:paraId="526C8198">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3、伤残军人康复中心标准化建设项目使军疗中心及军疗中心附属餐厅中设备利用率为100.00%，使军疗中心及军疗中心附属餐厅正常运转率为100.00%</w:t>
      </w:r>
      <w:r>
        <w:rPr>
          <w:rFonts w:hint="eastAsia" w:ascii="仿宋_GB2312" w:hAnsi="宋体" w:eastAsia="仿宋_GB2312"/>
          <w:b/>
          <w:sz w:val="32"/>
          <w:szCs w:val="32"/>
        </w:rPr>
        <w:tab/>
      </w:r>
      <w:r>
        <w:rPr>
          <w:rFonts w:hint="eastAsia" w:ascii="仿宋_GB2312" w:hAnsi="宋体" w:eastAsia="仿宋_GB2312"/>
          <w:b/>
          <w:sz w:val="32"/>
          <w:szCs w:val="32"/>
        </w:rPr>
        <w:t>提升本单位院内绿化环境。</w:t>
      </w:r>
    </w:p>
    <w:p w14:paraId="5CDBE638">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2A2B2A8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四、资产管理情况</w:t>
      </w:r>
    </w:p>
    <w:p w14:paraId="533E966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00E3AE5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7286.97万元，其中流动资产536.73万元，固定资产净值1642.99万元（其中：土地、房屋及构筑物1228.64万元，占固定资产净值的74.78%；通用设备75.06万元，占固定资产净值的4.57%；专用设备168.93万元，占固定资产净值的10.28%；其他170.36万元，占固定资产净值的10.37%）。</w:t>
      </w:r>
    </w:p>
    <w:p w14:paraId="5C9CB55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本年度流动资产536.73万元，比上年715.67万元减少万元，原因是：货币资金及应收账款减少。</w:t>
      </w:r>
    </w:p>
    <w:p w14:paraId="2A602A3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本年度固定资产2745.05万元，比上年2694.89万元增加50.16万元，原因是：在建工程完工转固定资产。</w:t>
      </w:r>
    </w:p>
    <w:p w14:paraId="60FED45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实际在用固定资产2745.05万元，固定资产利用率100%。</w:t>
      </w:r>
    </w:p>
    <w:p w14:paraId="334FE5D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5FB26E1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6FA99909">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7CDAA770">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4D73AFAE">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五、部门单位整体支出绩效情况</w:t>
      </w:r>
      <w:r>
        <w:rPr>
          <w:rFonts w:hint="eastAsia" w:ascii="仿宋_GB2312" w:hAnsi="宋体" w:eastAsia="仿宋_GB2312"/>
          <w:b/>
          <w:sz w:val="32"/>
          <w:szCs w:val="32"/>
        </w:rPr>
        <w:cr/>
      </w:r>
    </w:p>
    <w:p w14:paraId="01CAAD1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4FD3E81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2021年度我单位年初预算安排235.99万元，年中调整419.42万元，截止12月底支出650.78万元，执行率99.29%。</w:t>
      </w:r>
      <w:r>
        <w:rPr>
          <w:rFonts w:hint="eastAsia" w:ascii="仿宋_GB2312" w:hAnsi="宋体" w:eastAsia="仿宋_GB2312"/>
          <w:b/>
          <w:sz w:val="32"/>
          <w:szCs w:val="32"/>
        </w:rPr>
        <w:cr/>
      </w:r>
    </w:p>
    <w:p w14:paraId="5CCBA9F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14:paraId="4E44874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14:paraId="53DD8B8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14:paraId="1744B5D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2021年，我单位迎难而上、务实重干，积极推动各项业务工作取得了新的进展，为促进经济持续健康发展与社会和谐稳定提供了有力的支撑和保障。</w:t>
      </w:r>
      <w:r>
        <w:rPr>
          <w:rFonts w:hint="eastAsia" w:ascii="仿宋_GB2312" w:hAnsi="宋体" w:eastAsia="仿宋_GB2312"/>
          <w:b/>
          <w:sz w:val="32"/>
          <w:szCs w:val="32"/>
        </w:rPr>
        <w:cr/>
      </w:r>
    </w:p>
    <w:p w14:paraId="3FA4338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伊犁州光荣院在各级领导的关怀支持下，在社会各界的帮助下，服务理念、服务方式、服务设施、服务环境等方面创新发展，实现了从 “温饱型”向“营养配餐型”、从“文体锻炼型”向“康复保健型”、从“环境庭院型”向“花园式园林型”等为老服务的转变，院务管理做到科学化、规范化。先后有197名参加抗日战争、解放战争、抗美援朝的孤老优抚对象在此得到奉养，安享晚年。</w:t>
      </w:r>
      <w:r>
        <w:rPr>
          <w:rFonts w:hint="eastAsia" w:ascii="仿宋_GB2312" w:hAnsi="宋体" w:eastAsia="仿宋_GB2312"/>
          <w:b/>
          <w:sz w:val="32"/>
          <w:szCs w:val="32"/>
        </w:rPr>
        <w:cr/>
      </w:r>
    </w:p>
    <w:p w14:paraId="112639C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在自身不断发展壮大的同时，伊犁州光荣院不断拓展职能，积极发挥爱国主义教育基地和革命传统教育基地的作用，与驻地部队、企事业单位、中小学校广泛开展红色教育活动，倡导艰苦奋斗、甘于奉献的革命精神，引领文明新风。接受红色教育人数累计达到7千余人。</w:t>
      </w:r>
      <w:r>
        <w:rPr>
          <w:rFonts w:hint="eastAsia" w:ascii="仿宋_GB2312" w:hAnsi="宋体" w:eastAsia="仿宋_GB2312"/>
          <w:b/>
          <w:sz w:val="32"/>
          <w:szCs w:val="32"/>
        </w:rPr>
        <w:cr/>
      </w:r>
    </w:p>
    <w:p w14:paraId="59F9D3D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为了照顾更多的优抚对象，2011年开工建设老年综合康复楼1栋，建筑总面积6130㎡，总投资1165万元，床位100张，设有理疗康复室、医务室、娱乐室、餐厅等功能用房。从此，老军人们由逼仄低矮的平房搬入了宽敞明亮的新居，享受到楼上楼下电梯、电话的现代化生活。</w:t>
      </w:r>
      <w:r>
        <w:rPr>
          <w:rFonts w:hint="eastAsia" w:ascii="仿宋_GB2312" w:hAnsi="宋体" w:eastAsia="仿宋_GB2312"/>
          <w:b/>
          <w:sz w:val="32"/>
          <w:szCs w:val="32"/>
        </w:rPr>
        <w:cr/>
      </w:r>
    </w:p>
    <w:p w14:paraId="2442F0C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为保障休养员的生活环境和质量，自治州党委、政府不断加大投入力度，改善光荣院内外部环境，优化修养条件，特别是近两年来，投入资金3600万元，建设伤残军人康复疗养中心，该项目总建筑面积10827㎡，内设床位300张，项目建成后计划分批次将全州乡镇优抚对象接入中心短期休养，开展健康体检、参观游览、军营探访等活动，愉悦老人的身心，增强老军人的荣誉感和自豪感。同时我们将深入开展回访调研活动，上门了解在乡优抚对象需求进行帮扶，根据优抚对象家庭和个人的需求，对符合条件的优抚对象接办理长期入院休养手续，彻底解决其实际困难，让革命老人充分享受到党和政府的关心和经济发展的成果。</w:t>
      </w:r>
      <w:r>
        <w:rPr>
          <w:rFonts w:hint="eastAsia" w:ascii="仿宋_GB2312" w:hAnsi="宋体" w:eastAsia="仿宋_GB2312"/>
          <w:b/>
          <w:sz w:val="32"/>
          <w:szCs w:val="32"/>
        </w:rPr>
        <w:cr/>
      </w:r>
    </w:p>
    <w:p w14:paraId="138826A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扎实的工作得到了各级领导和社会各界的肯定，34年来先后获得全国敬老文明号、全国文明光荣院、全国退役军人工作模范单位、自治区文明单位等州级以上荣誉称号36项，硕果累累。</w:t>
      </w:r>
      <w:r>
        <w:rPr>
          <w:rFonts w:hint="eastAsia" w:ascii="仿宋_GB2312" w:hAnsi="宋体" w:eastAsia="仿宋_GB2312"/>
          <w:b/>
          <w:sz w:val="32"/>
          <w:szCs w:val="32"/>
        </w:rPr>
        <w:cr/>
      </w:r>
    </w:p>
    <w:p w14:paraId="6A12CFD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14:paraId="1B9DF2B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各项财政管理制度进一步夯实，二是财务人员业务能力进一步提升，三是各科室对绩效评价态度进一步改善，四是人员工作效率进一步提高，五是绩效目标的有效性进一步推进，七是负责绩效评价小组人员水平进一步增强，详细情况如下：</w:t>
      </w:r>
      <w:r>
        <w:rPr>
          <w:rFonts w:hint="eastAsia" w:ascii="仿宋_GB2312" w:hAnsi="宋体" w:eastAsia="仿宋_GB2312"/>
          <w:b/>
          <w:sz w:val="32"/>
          <w:szCs w:val="32"/>
        </w:rPr>
        <w:cr/>
      </w:r>
    </w:p>
    <w:p w14:paraId="6D3CB45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伊犁州光荣院部门单位整体绩效目标共设置一级指标3个，二级指标7个，三级指标13个，详细说明如下</w:t>
      </w:r>
      <w:r>
        <w:rPr>
          <w:rFonts w:hint="eastAsia" w:ascii="仿宋_GB2312" w:hAnsi="宋体" w:eastAsia="仿宋_GB2312"/>
          <w:b/>
          <w:sz w:val="32"/>
          <w:szCs w:val="32"/>
        </w:rPr>
        <w:cr/>
      </w:r>
    </w:p>
    <w:p w14:paraId="0AB20E0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14:paraId="49BAD6E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指标1：优抚对象入住人数，指标值：&gt;=39人，实际完成值：39人，指标完成率100.00%；</w:t>
      </w:r>
      <w:r>
        <w:rPr>
          <w:rFonts w:hint="eastAsia" w:ascii="仿宋_GB2312" w:hAnsi="宋体" w:eastAsia="仿宋_GB2312"/>
          <w:b/>
          <w:sz w:val="32"/>
          <w:szCs w:val="32"/>
        </w:rPr>
        <w:cr/>
      </w:r>
    </w:p>
    <w:p w14:paraId="0387E92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指标2：保障在职人员人数，指标值：&gt;=13人，实际完成值：13人，指标完成率100.00%；</w:t>
      </w:r>
      <w:r>
        <w:rPr>
          <w:rFonts w:hint="eastAsia" w:ascii="仿宋_GB2312" w:hAnsi="宋体" w:eastAsia="仿宋_GB2312"/>
          <w:b/>
          <w:sz w:val="32"/>
          <w:szCs w:val="32"/>
        </w:rPr>
        <w:cr/>
      </w:r>
    </w:p>
    <w:p w14:paraId="25C953A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14:paraId="019DA61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指标1：优抚对象抚恤和生活补助足额兑现率，指标值：=100%，实际完成值：100% ，指标完成率100.00%；</w:t>
      </w:r>
      <w:r>
        <w:rPr>
          <w:rFonts w:hint="eastAsia" w:ascii="仿宋_GB2312" w:hAnsi="宋体" w:eastAsia="仿宋_GB2312"/>
          <w:b/>
          <w:sz w:val="32"/>
          <w:szCs w:val="32"/>
        </w:rPr>
        <w:cr/>
      </w:r>
    </w:p>
    <w:p w14:paraId="1218D39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指标2：工资及公用经费保障率，指标值：=100%，实际完成值：100%，指标完成率100.00%；</w:t>
      </w:r>
      <w:r>
        <w:rPr>
          <w:rFonts w:hint="eastAsia" w:ascii="仿宋_GB2312" w:hAnsi="宋体" w:eastAsia="仿宋_GB2312"/>
          <w:b/>
          <w:sz w:val="32"/>
          <w:szCs w:val="32"/>
        </w:rPr>
        <w:cr/>
      </w:r>
    </w:p>
    <w:p w14:paraId="2E8435D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14:paraId="529317A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指标1：优抚对象抚恤和生活补助发放及时率，指标值：=90%，实际完成值：100%，指标完成率111.11%；</w:t>
      </w:r>
      <w:r>
        <w:rPr>
          <w:rFonts w:hint="eastAsia" w:ascii="仿宋_GB2312" w:hAnsi="宋体" w:eastAsia="仿宋_GB2312"/>
          <w:b/>
          <w:sz w:val="32"/>
          <w:szCs w:val="32"/>
        </w:rPr>
        <w:cr/>
      </w:r>
    </w:p>
    <w:p w14:paraId="264EDAE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指标2：资金发放及时性 ，指标值：&gt;=90%，实际完成值：100%，指标完成率111.11%；</w:t>
      </w:r>
      <w:r>
        <w:rPr>
          <w:rFonts w:hint="eastAsia" w:ascii="仿宋_GB2312" w:hAnsi="宋体" w:eastAsia="仿宋_GB2312"/>
          <w:b/>
          <w:sz w:val="32"/>
          <w:szCs w:val="32"/>
        </w:rPr>
        <w:cr/>
      </w:r>
    </w:p>
    <w:p w14:paraId="009F2E7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14:paraId="4E0D97C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指标1：人均支出标准 ，指标值：&lt;=11.93万元，实际完成值：11.4万元，指标完成率95.56%；</w:t>
      </w:r>
      <w:r>
        <w:rPr>
          <w:rFonts w:hint="eastAsia" w:ascii="仿宋_GB2312" w:hAnsi="宋体" w:eastAsia="仿宋_GB2312"/>
          <w:b/>
          <w:sz w:val="32"/>
          <w:szCs w:val="32"/>
        </w:rPr>
        <w:cr/>
      </w:r>
    </w:p>
    <w:p w14:paraId="223E6BF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指标2：院民人均生活费，指标值：&lt;=1.65万元，实际完成值：1.32万元，指标完成率80.00%；</w:t>
      </w:r>
      <w:r>
        <w:rPr>
          <w:rFonts w:hint="eastAsia" w:ascii="仿宋_GB2312" w:hAnsi="宋体" w:eastAsia="仿宋_GB2312"/>
          <w:b/>
          <w:sz w:val="32"/>
          <w:szCs w:val="32"/>
        </w:rPr>
        <w:cr/>
      </w:r>
    </w:p>
    <w:p w14:paraId="1E472CD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指标3：人均运转经费，指标值：&lt;=1.28万元，实际完成值：1.18万元，指标完成率92.19%；</w:t>
      </w:r>
      <w:r>
        <w:rPr>
          <w:rFonts w:hint="eastAsia" w:ascii="仿宋_GB2312" w:hAnsi="宋体" w:eastAsia="仿宋_GB2312"/>
          <w:b/>
          <w:sz w:val="32"/>
          <w:szCs w:val="32"/>
        </w:rPr>
        <w:cr/>
      </w:r>
    </w:p>
    <w:p w14:paraId="4B7B65E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14:paraId="231B023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指标1：提高本单位服务保障能力，指标值：有效提高，实际完成值：有效提高，指标完成率100.00%；</w:t>
      </w:r>
      <w:r>
        <w:rPr>
          <w:rFonts w:hint="eastAsia" w:ascii="仿宋_GB2312" w:hAnsi="宋体" w:eastAsia="仿宋_GB2312"/>
          <w:b/>
          <w:sz w:val="32"/>
          <w:szCs w:val="32"/>
        </w:rPr>
        <w:cr/>
      </w:r>
    </w:p>
    <w:p w14:paraId="010D0DC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14:paraId="60863A9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指标1：推进伊犁州荣军服务事业发展，指标值：持续推进，实际完成值：持续推进，指标完成率100.00%；</w:t>
      </w:r>
      <w:r>
        <w:rPr>
          <w:rFonts w:hint="eastAsia" w:ascii="仿宋_GB2312" w:hAnsi="宋体" w:eastAsia="仿宋_GB2312"/>
          <w:b/>
          <w:sz w:val="32"/>
          <w:szCs w:val="32"/>
        </w:rPr>
        <w:cr/>
      </w:r>
    </w:p>
    <w:p w14:paraId="010FDF4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14:paraId="311A1E9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指标1：优抚对象满意度，指标值：&gt;=90%，实际完成值：100%，指标完成率111.11%；</w:t>
      </w:r>
      <w:r>
        <w:rPr>
          <w:rFonts w:hint="eastAsia" w:ascii="仿宋_GB2312" w:hAnsi="宋体" w:eastAsia="仿宋_GB2312"/>
          <w:b/>
          <w:sz w:val="32"/>
          <w:szCs w:val="32"/>
        </w:rPr>
        <w:cr/>
      </w:r>
    </w:p>
    <w:p w14:paraId="4E3A37A6">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指标2：职工满意度，指标值：&gt;=90%，实际完成值：100%，指标完成率111.11%；</w:t>
      </w:r>
    </w:p>
    <w:p w14:paraId="55FF249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1628E7A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六、存在的主要问题</w:t>
      </w:r>
    </w:p>
    <w:p w14:paraId="3813239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1、未能牢固树立绩效理念，对实施绩效管理的认识还不够。</w:t>
      </w:r>
    </w:p>
    <w:p w14:paraId="184833B9">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2、绩效激励约束作用不强，绩效评价机制尚未完善。</w:t>
      </w:r>
    </w:p>
    <w:p w14:paraId="2F1D3ED2">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7EC423C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14:paraId="1A7C1BB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1、加快建成全方位、全过程、全覆盖的预算绩效管理体系，实现预算和绩效管理一体化，着力提高资源配置效率和使用效益。</w:t>
      </w:r>
    </w:p>
    <w:p w14:paraId="793E803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2、推进绩效成本预算管理改革，建立以质量和成本为重要考核内容、以结果导向配置公共资源的管理机制。</w:t>
      </w:r>
    </w:p>
    <w:p w14:paraId="0AC483C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3、实现绩效管理的全面覆盖，优化支出结构，削减无效、低效资金，形成绩效管理的刚性约束，提高财政资金的使用效益。</w:t>
      </w:r>
    </w:p>
    <w:p w14:paraId="305DD1C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4A25D52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1、深化绩效管理与预算管理相结合的管理机制；实现预算执行和政策实施、资金使用和绩效目标与人民满意的多项融合。</w:t>
      </w:r>
    </w:p>
    <w:p w14:paraId="16846181">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2、加强项目绩效业务知识学习，真正了解项目绩效工作实质，准确填报相关信息，促进相关工作同步进行。</w:t>
      </w:r>
    </w:p>
    <w:p w14:paraId="3B3D181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6B3568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3E827FA"/>
    <w:rsid w:val="24871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9456</Words>
  <Characters>10291</Characters>
  <Lines>2</Lines>
  <Paragraphs>1</Paragraphs>
  <TotalTime>12</TotalTime>
  <ScaleCrop>false</ScaleCrop>
  <LinksUpToDate>false</LinksUpToDate>
  <CharactersWithSpaces>10346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2025-05-20T03:26:49Z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09A1AB3A8AF84D5E86DB92F6D0B7ED7A_12</vt:lpwstr>
  </property>
  <property fmtid="{D5CDD505-2E9C-101B-9397-08002B2CF9AE}" pid="4" name="KSOTemplateDocerSaveRecord">
    <vt:lpwstr>eyJoZGlkIjoiZTJlNDBmZDg4NzQzM2UxZWE4MWMzYTNmYjU4NjJhMzkiLCJ1c2VySWQiOiIzODc1NDM2MTYifQ==</vt:lpwstr>
  </property>
</Properties>
</file>