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75B3F9">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14:paraId="2B863724">
      <w:pPr>
        <w:spacing w:line="540" w:lineRule="exact"/>
        <w:jc w:val="center"/>
        <w:rPr>
          <w:rFonts w:ascii="方正小标宋_GBK" w:hAnsi="华文中宋" w:eastAsia="方正小标宋_GBK" w:cs="宋体"/>
          <w:b/>
          <w:kern w:val="0"/>
          <w:sz w:val="48"/>
          <w:szCs w:val="48"/>
        </w:rPr>
      </w:pPr>
    </w:p>
    <w:p w14:paraId="56FE3831">
      <w:pPr>
        <w:spacing w:line="540" w:lineRule="exact"/>
        <w:jc w:val="center"/>
        <w:rPr>
          <w:rFonts w:ascii="方正小标宋_GBK" w:hAnsi="华文中宋" w:eastAsia="方正小标宋_GBK" w:cs="宋体"/>
          <w:b/>
          <w:kern w:val="0"/>
          <w:sz w:val="48"/>
          <w:szCs w:val="48"/>
        </w:rPr>
      </w:pPr>
    </w:p>
    <w:p w14:paraId="71BEA104">
      <w:pPr>
        <w:spacing w:line="540" w:lineRule="exact"/>
        <w:jc w:val="center"/>
        <w:rPr>
          <w:rFonts w:ascii="方正小标宋_GBK" w:hAnsi="华文中宋" w:eastAsia="方正小标宋_GBK" w:cs="宋体"/>
          <w:b/>
          <w:kern w:val="0"/>
          <w:sz w:val="48"/>
          <w:szCs w:val="48"/>
        </w:rPr>
      </w:pPr>
    </w:p>
    <w:p w14:paraId="393401E7">
      <w:pPr>
        <w:spacing w:line="540" w:lineRule="exact"/>
        <w:jc w:val="center"/>
        <w:rPr>
          <w:rFonts w:ascii="方正小标宋_GBK" w:hAnsi="华文中宋" w:eastAsia="方正小标宋_GBK" w:cs="宋体"/>
          <w:b/>
          <w:kern w:val="0"/>
          <w:sz w:val="48"/>
          <w:szCs w:val="48"/>
        </w:rPr>
      </w:pPr>
    </w:p>
    <w:p w14:paraId="1B39C0AE">
      <w:pPr>
        <w:spacing w:line="540" w:lineRule="exact"/>
        <w:jc w:val="center"/>
        <w:rPr>
          <w:rFonts w:ascii="方正小标宋_GBK" w:hAnsi="华文中宋" w:eastAsia="方正小标宋_GBK" w:cs="宋体"/>
          <w:b/>
          <w:kern w:val="0"/>
          <w:sz w:val="48"/>
          <w:szCs w:val="48"/>
        </w:rPr>
      </w:pPr>
    </w:p>
    <w:p w14:paraId="11A18AD0">
      <w:pPr>
        <w:spacing w:line="540" w:lineRule="exact"/>
        <w:jc w:val="center"/>
        <w:rPr>
          <w:rFonts w:ascii="方正小标宋_GBK" w:hAnsi="华文中宋" w:eastAsia="方正小标宋_GBK" w:cs="宋体"/>
          <w:b/>
          <w:kern w:val="0"/>
          <w:sz w:val="48"/>
          <w:szCs w:val="48"/>
        </w:rPr>
      </w:pPr>
    </w:p>
    <w:p w14:paraId="7D56F87E">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14:paraId="0C87FD0D">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58039830">
      <w:pPr>
        <w:spacing w:line="540" w:lineRule="exact"/>
        <w:jc w:val="center"/>
        <w:rPr>
          <w:rFonts w:ascii="华文中宋" w:hAnsi="华文中宋" w:eastAsia="华文中宋" w:cs="宋体"/>
          <w:b/>
          <w:kern w:val="0"/>
          <w:sz w:val="52"/>
          <w:szCs w:val="52"/>
        </w:rPr>
      </w:pPr>
    </w:p>
    <w:p w14:paraId="1CF259AF">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186745CD">
      <w:pPr>
        <w:spacing w:line="540" w:lineRule="exact"/>
        <w:jc w:val="center"/>
        <w:rPr>
          <w:rFonts w:hAnsi="宋体" w:eastAsia="仿宋_GB2312" w:cs="宋体"/>
          <w:kern w:val="0"/>
          <w:sz w:val="30"/>
          <w:szCs w:val="30"/>
        </w:rPr>
      </w:pPr>
    </w:p>
    <w:p w14:paraId="4CED77EE">
      <w:pPr>
        <w:spacing w:line="540" w:lineRule="exact"/>
        <w:jc w:val="center"/>
        <w:rPr>
          <w:rFonts w:hAnsi="宋体" w:eastAsia="仿宋_GB2312" w:cs="宋体"/>
          <w:kern w:val="0"/>
          <w:sz w:val="30"/>
          <w:szCs w:val="30"/>
        </w:rPr>
      </w:pPr>
    </w:p>
    <w:p w14:paraId="4D1EB09D">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14:paraId="2D6A57FE">
      <w:pPr>
        <w:spacing w:line="540" w:lineRule="exact"/>
        <w:jc w:val="center"/>
        <w:rPr>
          <w:rFonts w:hAnsi="宋体" w:eastAsia="仿宋_GB2312" w:cs="宋体"/>
          <w:kern w:val="0"/>
          <w:sz w:val="30"/>
          <w:szCs w:val="30"/>
        </w:rPr>
      </w:pPr>
    </w:p>
    <w:p w14:paraId="63BE86C2">
      <w:pPr>
        <w:spacing w:line="540" w:lineRule="exact"/>
        <w:jc w:val="center"/>
        <w:rPr>
          <w:rFonts w:hAnsi="宋体" w:eastAsia="仿宋_GB2312" w:cs="宋体"/>
          <w:kern w:val="0"/>
          <w:sz w:val="30"/>
          <w:szCs w:val="30"/>
        </w:rPr>
      </w:pPr>
    </w:p>
    <w:p w14:paraId="1F44B85D">
      <w:pPr>
        <w:spacing w:line="540" w:lineRule="exact"/>
        <w:jc w:val="center"/>
        <w:rPr>
          <w:rFonts w:hAnsi="宋体" w:eastAsia="仿宋_GB2312" w:cs="宋体"/>
          <w:kern w:val="0"/>
          <w:sz w:val="30"/>
          <w:szCs w:val="30"/>
        </w:rPr>
      </w:pPr>
    </w:p>
    <w:p w14:paraId="2A61933D">
      <w:pPr>
        <w:spacing w:line="540" w:lineRule="exact"/>
        <w:rPr>
          <w:rFonts w:hAnsi="宋体" w:eastAsia="仿宋_GB2312" w:cs="宋体"/>
          <w:kern w:val="0"/>
          <w:sz w:val="30"/>
          <w:szCs w:val="30"/>
        </w:rPr>
      </w:pPr>
    </w:p>
    <w:p w14:paraId="7C5A61A0">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260287E">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14:paraId="2DFE3CDF">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14:paraId="0D71FB5A">
      <w:pPr>
        <w:spacing w:line="700" w:lineRule="exact"/>
        <w:jc w:val="left"/>
        <w:rPr>
          <w:rFonts w:hAnsi="宋体" w:eastAsia="仿宋_GB2312" w:cs="宋体"/>
          <w:kern w:val="0"/>
          <w:sz w:val="36"/>
          <w:szCs w:val="36"/>
        </w:rPr>
      </w:pPr>
    </w:p>
    <w:p w14:paraId="6E61B129">
      <w:pPr>
        <w:spacing w:line="700" w:lineRule="exact"/>
        <w:jc w:val="left"/>
        <w:rPr>
          <w:rFonts w:hAnsi="宋体" w:eastAsia="仿宋_GB2312" w:cs="宋体"/>
          <w:kern w:val="0"/>
          <w:sz w:val="36"/>
          <w:szCs w:val="36"/>
        </w:rPr>
      </w:pPr>
    </w:p>
    <w:p w14:paraId="20CD2773">
      <w:pPr>
        <w:spacing w:line="700" w:lineRule="exact"/>
        <w:jc w:val="left"/>
        <w:rPr>
          <w:rFonts w:hAnsi="宋体" w:eastAsia="仿宋_GB2312" w:cs="宋体"/>
          <w:kern w:val="0"/>
          <w:sz w:val="36"/>
          <w:szCs w:val="36"/>
        </w:rPr>
      </w:pPr>
    </w:p>
    <w:p w14:paraId="68C451FB">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14:paraId="40265AFE">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1、主要职能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贯彻落实离休干部（含配偶）的政治待遇，协同有关部门落实老干部的生活待遇；做好离休干部的生活服务工作和医疗保健等工作。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2、机构人员构成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（1）组织机构设置：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伊犁州伊宁干部休养所（州苏伊老干部活动中心）无下属预算单位，下设 4个科室，分别是：办公室、飞机场路片区管理科、斯大林街片区管理科、活动管理科四个科室。规格相当正科级。</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（2）2021年伊犁州伊宁干部休养所（州苏伊老干部活动中心）实有在职人员为12人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行政在职12人（上年12人），与上年一致；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实有离休人员0人（上年0人）,与上年一致。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实有退休人员23人（上年24人）, 同比上年减少1人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3、重点工作计划</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贯彻落实了离休干部（含配偶）的政治待遇，协同有关部门落实老干部的生活待遇；做好离休干部的生活服务工作和医疗保健等工作。服务老干部、落实老干部政治待遇及生活待遇，对老干部活动场所提供日常维修维护，为做好离休干部服务工作，需对大楼内老旧设施设备朝进行维修,缴纳暖气费用,保障活动老干部及干部职工冬季取暖,保障活动场所环境卫生,以便为广大离退休干部提供服务，组织老干部开展积极健康的文体活动为离退休老干部购买生活物资，送学上门购买学习资料等丰富老干部精神文化生活质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服务老干部、落实老干部政治待遇、全年人员经费工作，计划投入153.35万元，要完成基本工资、津贴补贴、奖金、社保、住房公积金及为老干部提供、会议费，培训费等用支出支出目标。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（2）为老干部学习和活动提供场所，开展文化活动 对老干部活动场所提供日常维修维护，开展活动等，计划投入18.31万元，要完成办公费、印刷费、水费、电费、邮电费</w:t>
      </w:r>
      <w:bookmarkStart w:id="1" w:name="_GoBack"/>
      <w:bookmarkEnd w:id="1"/>
      <w:r>
        <w:rPr>
          <w:rFonts w:hint="eastAsia" w:ascii="仿宋_GB2312" w:hAnsi="宋体" w:eastAsia="仿宋_GB2312"/>
          <w:b/>
          <w:sz w:val="32"/>
          <w:szCs w:val="32"/>
        </w:rPr>
        <w:t>及维修维护等支出目标。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（3）发挥老干部积极作用，落实生活待遇，计划投入19.48万元，为离退休老干部购买生活物资，送学购买学习资料等支出目标。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2021年我单位全年预算数为 218.79万元，其中：年初批复的财政拨款为191.14万元，年中追加资金27.65万元，调整率14.47%。对比上年219.89万元减少1.1万元，下降0.50%。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2021年实际决算支出218.75万元，执行率99.98%，其中：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1）基本支出200.45万元，占总支出的91.63％，主要用于本单位机构正常运转、完成日常工作任务而发生的各项支出。其中：工资福利支出150.72万元，主要用于在职和离退休人员基本工资、津贴补贴等人员经费。商品和服务支出18.21万元，主要用于办公费、印刷费、水电费、办公设备购置等。对个人和家庭的补助31.52万元，主要用于遗属抚恤金及死亡抚恤金等支出。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项目支出18.30万元，占总支出的8.37％。其中：伊犁州伊宁干休所离退休老干部服务项目安排18.30万元，主要用于完成活动场所暖气费用的缴纳、活动场所老旧设施设备维修、开展老干部活动、离退休老干部服务相关支出，确保2021年度伊犁州苏伊老干部活动中心各社团活动正常开展，为州直单位离退休老干部开展娱乐、休闲、健身、学习等活动提供安全、舒适、宽松、优美的场所。。</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（3）本年度重点项目支出18.30万元，重点支出保障率100.00%。其中重点保障项目是伊犁州伊宁干休所离退休老干部服务项目。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（4）本年度我单位年初政府采购预算2.45万元,实际用于政府采购金额2.44万元，采购执行率99.59 %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次伊犁州伊宁干部休养所（州苏伊老干部活动中心）整体支出绩效自评采用比较法，原因是：结合以往工作经验及绩效评价的目标要求能较好的掌握资金的使用效益，通过绩效目标与具体实施情况比较能够更清晰的比较差异。</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涉及对象：本次评价对象是伊犁州伊宁干部休养所（州苏伊老干部活动中心）所有财政资金支出活动。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整体支出评价范围：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①基本支出200.48万元，其中：工资福利支出150.72、商品和服务支出18.24、对个人和家庭的补助支出31.52。</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②项目支出 18.31万元：伊犁州伊宁干休所离退休老干部服务项目18.31万元.</w:t>
      </w:r>
      <w:bookmarkStart w:id="0" w:name="_Hlk43849111"/>
      <w:bookmarkEnd w:id="0"/>
    </w:p>
    <w:p w14:paraId="1FB1F5AB">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14:paraId="0E9CCC6D">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1、预算编制管理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严格按照财政部门预算编制与预算调整的工作要求，在预算编制、分配依据充分的条件下，切实做好“先定目标再编预算”，确保预算分配结果合理。同时按照自治区财政厅和州财政局的绩效管理（新财预〔2018〕189号关于印发《自治区财政支出绩效评价管理暂行办法》的通知和伊州财预【2019】48号关于印发《伊犁州财政支出事前绩效评估观理暂行办法》的通知、伊州财预〔2019〕25号关于转发《自治区财政支出绩效评价结果应用暂行办法》的通知）等要求，部门预算及绩效目标在伊犁州政府网上公开，广泛接受社会监督。</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2、预算支出管理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按照财政要求基本支出分月度申报资金使用计划，由财政部门按照进度每月按期拨付，人员支出按照工资计划发放工资；依照伊犁州财政局相关规定和流程，资金支出按照我内控体系中设定的流程申报审批进行；项目支出属于政府采购的，按照伊犁州财政局《伊犁哈萨克自治州本级2018年度政府集中采购目录和分散采购限额标准》组织人员制定采购计划，按照财政局采购部门批复，进行公开招标、邀请招标等方式进行；属于非政府采购的项目，按照“三重一大”制度规定，重大项目支出上支委会研究决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2021年基本支出预算安排200.48万元，实际到位200.48万元,实际支出 200.45万元，占总支出的91.63％，其中：工资福利支出150.72万元、商品和服务支出 18.21万元、对个人和家庭的补助31.52万元、主要用于遗属抚恤和死亡抚恤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2021年基本支出比上年189.53万元,增加10.92 万元，上升5.76%，支出上升的主要原因是人员调入,人员工资增加及死亡抚恤增加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2021年一般公共预算“三公”经费数为1.15万元，其中：因公出国（境）费 0万元，公务用车购置0 万元，公务用车运行费    1.15万元，公务接待费0万元。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比上年增加0万元，其中：因公出国（境）费增加0万元，主要原因是本年及上年均未安排预算；公务用车购置费为0，本年及上年均未安排预算；公务用车运行费增加0万元，主要原因是单位公务用车保有量没有变化 ；公务接待费增加0万元，主要原因是单位本年及上年均未安排预算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2021年预算安排专项资金18.31 万元，实际到位18.31万元, 到位率100.00％,其中:中央转移支付项目资金0万元，自治区资金 0 万元，本级安排 18.31万元。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专项资金支出18.30万元，占总支出的8.37%，其中2021年专项项目支出比上年30.36万元减少12.06万元，下降39.72%。支出减少的主要原因是2021年较2020年相比减少了维修项目。其中：伊犁州伊宁干休所离退休老干部服务项目安排18.31 万元，主要用于完成活动场所暖气费用的缴纳、活动场所老旧设施设备维修、开展老干部活动、离退休老干部服务相关支出，确保2021年度伊犁州苏伊老干部活动中心各社团活动正常开展，为州直单位离退休老干部开展娱乐、休闲、健身、学习等活动提供安全、舒适、宽松、优美的场所。</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3、专项资金管理情况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为规范专项资金使用，提高专项资金使用效益，我单位伊犁州伊宁干部休养所（州苏伊老干部活动中心）主要采取四项措施。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制定了《伊犁州伊宁干部休养所专项资金管理办法》，《伊犁州伊宁干部休养所专项资金管理办法》专项资金管理办法，各项资金使用审批流程均按规定办理。涉及“三重一大”内容，严格按照规定提请局党组会审议决定，包括项目资金分配、重大项目确定、大额资金支付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（2）建立伊犁州伊宁干部休养所（州苏伊老干部活动中心）专项资金专帐，做到有据可依，有据可查。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（3）制订了伊犁州伊宁干部休养所离退休干部服务项目实施方案，确保项目实施。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（4）认真组织伊犁州伊宁干部休养所 离退休干部服务项目验收，确保项目有效开展。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专项资金涉及政府采购项目的，按照局《伊犁州伊宁干部休养所（州苏伊老干部活动中心）采购与招标管理办法》组织人员制定采购计划，按照财政局采购部门批复，进行公开招标、邀请招标等方式进行。</w:t>
      </w:r>
    </w:p>
    <w:p w14:paraId="37DCA4A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14:paraId="745ED414">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1、前期准备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年初我单位下发的伊犁州伊宁干部休养所离退休干部服务项目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2、组织实施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是对财政资金使用合规性进行评价，主要评价：①专项资金不存在截留、挪用，支付审批合规、不存在用途改变、范围超支和虚列项目支出等情况；②项目实施符合专项管理办法，流程和管理制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截止12月31日，该专项均按照时间计划保质、保量完成。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2021年涉及专项资金18.31万元，实际到位18.31万元，资金到位率100.00%。截止到2021年12月31日执行 18.30万元，执行率99.95%。其中：2021年结转专项资金0万元，实际执行0万元，执行率为0.00%；2021年新增专项资金18.31万元，实际执行18.30万元，执行率为99.95%。</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2、资金管理情况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我单位严格执行《专项资金管理办法》文件精神要求，加强对专项资金的绩效管理，确保专款专用，提高专项资金使用效益。遵守相关法律法规，严肃财经纪律，自觉接受财政、审计、监察监督检查。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(三)项目实施情况分析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伊宁干部休养所(州苏伊老干部活动中心)，根据2021年1个项目的绩效目标及工作内容，将其细化分工至本单位2个科室负责人，加强组织领导，明确分工，各司其职，抓好工作目标任务的落实完成，同时年中要求各科室负责人按照年初预算对本科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伊犁州伊宁干部休养所(州苏伊老干部活动中心)，实施的1个项目，由相关业务科室指派专人进行全过程跟踪管理，科室负责人统筹推进项目实施，单位领导不定期对项目进度进行调度，并对项目质量进行控制。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3、监管情况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项目负责人眭晓峰从项目实施方案、项目预算、项目建设进度、项目成本、项目验收等环节，全过程对项目进行监管，并向本单位主要领导报告，以推进项目建设和提高项目质量，以发挥资金使用效益。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(四)绩效情况分析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1、成本控制情况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伊宁干部休养所(州苏伊老干部活动中心)，所涉及专项项目均已于专项资金下达后按照资金文件及绩效管理要求设置《项目绩效目标表》。1个专项项目预算总额为18.31万元，在项目实施过程中，业务人员加强项目管理，合理控制项目成本，截止项目结束，1个项目总成本为18.30万元，不存在超支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2、成本节约情况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伊犁州伊宁干部休养所(州苏伊老干部活动中心)，所涉及专项项目使用资金比专项项目总预算减少0.01万元，项目节约率为0.05%。</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(五)项目效率性分析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1、实施进度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2021年伊犁州伊宁干部休养所(州苏伊老干部活动中心)共涉及专项项目1个，截止到2021年底，通过专项项目实施过程中的有效监督，我单位按预期完成了1个专项的各项专项任务，项目总体完成率为101.17%。</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2、完成质量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1个专项项目完成质量情况如下：完成了活动场所暖气费用的缴纳、活动场所老旧设施设备维修、开展老干部活动、离退休老干部服务相关支出.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项目效益性分析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个专项项目预期目标完成程度、实施对经济和社会的影响如下:确保2021年度伊犁州苏伊老干部活动中心各社团活动正常开展，为州直单位离退休老干部开展娱乐、休闲、健身、学习等活动提供安全、舒适、宽松、优美的场所。</w:t>
      </w:r>
    </w:p>
    <w:p w14:paraId="12A3AD8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14:paraId="0A4F0C23">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（一）资产配置情况</w:t>
      </w:r>
      <w:r>
        <w:rPr>
          <w:rFonts w:hint="eastAsia" w:ascii="仿宋_GB2312" w:hAnsi="宋体" w:eastAsia="仿宋_GB2312"/>
          <w:b/>
          <w:sz w:val="32"/>
          <w:szCs w:val="32"/>
        </w:rPr>
        <w:br w:type="textWrapping"/>
      </w:r>
      <w:r>
        <w:rPr>
          <w:rFonts w:hint="eastAsia" w:ascii="仿宋_GB2312" w:hAnsi="宋体" w:eastAsia="仿宋_GB2312"/>
          <w:b/>
          <w:sz w:val="32"/>
          <w:szCs w:val="32"/>
        </w:rPr>
        <w:t>2021年我单位资产总额803.68万元，其中流动资产39.99万元，（其中往来账户其他应收款占100.00%）固定资产净值769.69万元（其中：土地、房屋及构筑物712.22万元，占固定资产净值的92.53%；通用设备15.60万元，占固定资产净值的2.03%；专用设备22.32万元，占固定资产净值的2.90%；其他文物及陈列物及家具、用具、装具、19.55万元,占固定资产净值的2.54%）。</w:t>
      </w:r>
      <w:r>
        <w:rPr>
          <w:rFonts w:hint="eastAsia" w:ascii="仿宋_GB2312" w:hAnsi="宋体" w:eastAsia="仿宋_GB2312"/>
          <w:b/>
          <w:sz w:val="32"/>
          <w:szCs w:val="32"/>
        </w:rPr>
        <w:br w:type="textWrapping"/>
      </w:r>
      <w:r>
        <w:rPr>
          <w:rFonts w:hint="eastAsia" w:ascii="仿宋_GB2312" w:hAnsi="宋体" w:eastAsia="仿宋_GB2312"/>
          <w:b/>
          <w:sz w:val="32"/>
          <w:szCs w:val="32"/>
        </w:rPr>
        <w:t>本年度流动资产39.99万元，比上年增加22.26万元，原因是：公益性岗位工资转入往来户和上级单位转入活动费等费用挂往来帐 。</w:t>
      </w:r>
      <w:r>
        <w:rPr>
          <w:rFonts w:hint="eastAsia" w:ascii="仿宋_GB2312" w:hAnsi="宋体" w:eastAsia="仿宋_GB2312"/>
          <w:b/>
          <w:sz w:val="32"/>
          <w:szCs w:val="32"/>
        </w:rPr>
        <w:br w:type="textWrapping"/>
      </w:r>
      <w:r>
        <w:rPr>
          <w:rFonts w:hint="eastAsia" w:ascii="仿宋_GB2312" w:hAnsi="宋体" w:eastAsia="仿宋_GB2312"/>
          <w:b/>
          <w:sz w:val="32"/>
          <w:szCs w:val="32"/>
        </w:rPr>
        <w:t>本年度固定资产 1114.94 万元，比上年增加2.36万元，原因是：新购入固定资产2.36万元。</w:t>
      </w:r>
      <w:r>
        <w:rPr>
          <w:rFonts w:hint="eastAsia" w:ascii="仿宋_GB2312" w:hAnsi="宋体" w:eastAsia="仿宋_GB2312"/>
          <w:b/>
          <w:sz w:val="32"/>
          <w:szCs w:val="32"/>
        </w:rPr>
        <w:br w:type="textWrapping"/>
      </w:r>
      <w:r>
        <w:rPr>
          <w:rFonts w:hint="eastAsia" w:ascii="仿宋_GB2312" w:hAnsi="宋体" w:eastAsia="仿宋_GB2312"/>
          <w:b/>
          <w:sz w:val="32"/>
          <w:szCs w:val="32"/>
        </w:rPr>
        <w:t>实际在用固定资1114.94万元，固定资产利用率100%</w:t>
      </w:r>
      <w:r>
        <w:rPr>
          <w:rFonts w:hint="eastAsia" w:ascii="仿宋_GB2312" w:hAnsi="宋体" w:eastAsia="仿宋_GB2312"/>
          <w:b/>
          <w:sz w:val="32"/>
          <w:szCs w:val="32"/>
        </w:rPr>
        <w:br w:type="textWrapping"/>
      </w:r>
      <w:r>
        <w:rPr>
          <w:rFonts w:hint="eastAsia" w:ascii="仿宋_GB2312" w:hAnsi="宋体" w:eastAsia="仿宋_GB2312"/>
          <w:b/>
          <w:sz w:val="32"/>
          <w:szCs w:val="32"/>
        </w:rPr>
        <w:t>（二）资产管理情况</w:t>
      </w:r>
      <w:r>
        <w:rPr>
          <w:rFonts w:hint="eastAsia" w:ascii="仿宋_GB2312" w:hAnsi="宋体" w:eastAsia="仿宋_GB2312"/>
          <w:b/>
          <w:sz w:val="32"/>
          <w:szCs w:val="32"/>
        </w:rPr>
        <w:br w:type="textWrapping"/>
      </w:r>
      <w:r>
        <w:rPr>
          <w:rFonts w:hint="eastAsia" w:ascii="仿宋_GB2312" w:hAnsi="宋体" w:eastAsia="仿宋_GB2312"/>
          <w:b/>
          <w:sz w:val="32"/>
          <w:szCs w:val="32"/>
        </w:rPr>
        <w:t>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r>
        <w:rPr>
          <w:rFonts w:hint="eastAsia" w:ascii="仿宋_GB2312" w:hAnsi="宋体" w:eastAsia="仿宋_GB2312"/>
          <w:b/>
          <w:sz w:val="32"/>
          <w:szCs w:val="32"/>
        </w:rPr>
        <w:br w:type="textWrapping"/>
      </w:r>
      <w:r>
        <w:rPr>
          <w:rFonts w:hint="eastAsia" w:ascii="仿宋_GB2312" w:hAnsi="宋体" w:eastAsia="仿宋_GB2312"/>
          <w:b/>
          <w:sz w:val="32"/>
          <w:szCs w:val="32"/>
        </w:rPr>
        <w:t>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14:paraId="346EF8A1">
      <w:pPr>
        <w:spacing w:line="600" w:lineRule="exact"/>
        <w:ind w:firstLine="1120" w:firstLineChars="3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2021年度我单位年初预算安排191.14万元，年中调整27.65 万元，截止12月底支出218.75万元，执行率99.98%。</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（二）效率性评价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在伊犁州财政局的大力支持和伊犁州党委老干部局的正确领导下，我单位迎难而上、务实重干，积极推动各项离退休老干部服务工作取得了新的进展，为促进经济持续健康发展与社会和谐稳定提供了有力的资金支撑和保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1、圆满完成服务老干部、落实老干部政治待遇工作。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 为老干部学习和活动提供场所，开展文化活动任务提前完成。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3、发挥老干部积极作用，落实生活待遇成效显著。</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4、贯彻落实离休干部（含配偶）的政治待遇，协同有关部门落实老干部的生活待遇；做好离休干部的生活服务工作和医疗保健等工作全面达标，群众满意度高.</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（三）有效性评价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部门支出的有效性主要体现在我单位各项工作成效上，一是落实老干部政治待遇工作进一步夯实，二服务老干部能力进一步提升，三是老干部活动场所环境进一步改善，四是老干部的生活待遇进一步提高，五是离休干部的生活服务工作和医疗保健进一步推进，七是老干部精神生活水平进一步增强，详细情况如下：贯彻落实离休干部（含配偶）的政治待遇，协同有关部门落实老干部的生活待遇；做好离休干部的生活服务工作和医疗保健等工作。服务老干部、落实老干部政治待遇及生活待遇，对老干部活动场所提供日常维修维护为离退休老干部购买生活物资，送学上门购买学习资料等丰富老干部精神文化生活质量，详细说明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圆满完成服务老干部、落实老干部待遇工作,贯彻落实离休干部（含配偶）的政治待遇，协同有关部门落实老干部的生活待遇；做好离休干部的生活服务工作和医疗保健等工作全面达标。保障了部门单位人员发放工资福利支出及运转支出发挥老干部积极作用，落实生活待遇成效显著。为老干部学习和活动提供场所，开展文化活动任务提前完成,群众满意度高.</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2021年伊犁州伊宁干部休养所（州苏伊老干部活动中心）单位整体绩效目标共设置一级指标3个，二级指标7个，三级指标13个，详细说明如下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1、数量指标：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指标1：保障在职人员人数 ，指标值： =12人   ，实际完成值：12人，指标完成率100.00%；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指标2：组织老干部活动场次 ，指标值：&gt;=5次 ，实际完成值：5次，指标完成率100.00%；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2、质量指标：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指标1：离退休老干部服务覆盖率，指标值：&gt;=95.00% ，实际完成值：100.00% ，指标完成率105.26%;</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指标2：工资及公用经费保障率 ，指标值：=100.00%，实际完成值：100.00% ，指标完成率100.00%；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3、时效指标：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指标1：开展活动及时率，指标值：&gt;=95.00% ，实际完成值：100.00%，指标完成率105.26%；</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指标2：资金发放及时性，指标值：=100.00% ，实际完成值：100.00% ,指标完成100.00%；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4、成本指标：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指标1：人均运转经费数，指标值：&lt;=1.62万元，实际完成值：1.52万元 ，指标完成率93.67%；</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指标2：人均支出标准 ，指标值：&lt;=12.77万元 ，实际完成值：11.75万元，指标完成率92.01%；</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5、社会效益指标：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指标1：发挥老干部政治优势经验优势 ，指标值：&gt;=3次，实际完成值： 3次，指标完成率100.00%；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指标2：提高老干部精神生活质量，指标值：有效提升，实际完成值：有效提升，指标完成率100.00%；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6、可持续影响指标：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指标1：保障场所各项工作正常运转 ，指标值：持续保障，实际完成值：持续保障，指标完成率100.00%；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7、满意度指标：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指标1：干部职工满意度，指标值：&gt;=95.00%，实际完成值：100.00%，指标完成率105.26%；</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指标2：服务老干部满意度，指标值：&gt;=95.00% ，实际完成值：100.00%，指标完成率105.26%；</w:t>
      </w:r>
    </w:p>
    <w:p w14:paraId="4D3E30DF">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14:paraId="5912FC22">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1、绩效目标设立不够明确、细化和量化。</w:t>
      </w:r>
      <w:r>
        <w:rPr>
          <w:rFonts w:hint="eastAsia" w:ascii="仿宋_GB2312" w:hAnsi="宋体" w:eastAsia="仿宋_GB2312"/>
          <w:b/>
          <w:sz w:val="32"/>
          <w:szCs w:val="32"/>
        </w:rPr>
        <w:br w:type="textWrapping"/>
      </w:r>
      <w:r>
        <w:rPr>
          <w:rFonts w:hint="eastAsia" w:ascii="仿宋_GB2312" w:hAnsi="宋体" w:eastAsia="仿宋_GB2312"/>
          <w:b/>
          <w:sz w:val="32"/>
          <w:szCs w:val="32"/>
        </w:rPr>
        <w:t>2、制度建设和规范化管理有待加强。</w:t>
      </w:r>
      <w:r>
        <w:rPr>
          <w:rFonts w:hint="eastAsia" w:ascii="仿宋_GB2312" w:hAnsi="宋体" w:eastAsia="仿宋_GB2312"/>
          <w:b/>
          <w:sz w:val="32"/>
          <w:szCs w:val="32"/>
        </w:rPr>
        <w:br w:type="textWrapping"/>
      </w:r>
      <w:r>
        <w:rPr>
          <w:rFonts w:hint="eastAsia" w:ascii="仿宋_GB2312" w:hAnsi="宋体" w:eastAsia="仿宋_GB2312"/>
          <w:b/>
          <w:sz w:val="32"/>
          <w:szCs w:val="32"/>
        </w:rPr>
        <w:t>3、人员素质有待进一步提高。由于预算绩效管理工作开展时间较短，加上缺乏系统的培训，对预算绩效管理认识不到位、理解不充分，对工作重点把握不到位。</w:t>
      </w:r>
    </w:p>
    <w:p w14:paraId="65E5B227">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14:paraId="490E58CB">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（一）改进措施</w:t>
      </w:r>
      <w:r>
        <w:rPr>
          <w:rFonts w:hint="eastAsia" w:ascii="仿宋_GB2312" w:hAnsi="宋体" w:eastAsia="仿宋_GB2312"/>
          <w:b/>
          <w:sz w:val="32"/>
          <w:szCs w:val="32"/>
        </w:rPr>
        <w:br w:type="textWrapping"/>
      </w:r>
      <w:r>
        <w:rPr>
          <w:rFonts w:hint="eastAsia" w:ascii="仿宋_GB2312" w:hAnsi="宋体" w:eastAsia="仿宋_GB2312"/>
          <w:b/>
          <w:sz w:val="32"/>
          <w:szCs w:val="32"/>
        </w:rPr>
        <w:t>1、加强领导重视是实施绩效监控的前提，年初预算方案需结合实际、有政策依据、科学、合理、有针对性和操作性。按照州财政局的工作部署，进一步加强与州财政预算编报、审核的衔接，强化内部预算支出管理、跟踪，按月对预算执行情况分析，切实加快预算执行进度。</w:t>
      </w:r>
      <w:r>
        <w:rPr>
          <w:rFonts w:hint="eastAsia" w:ascii="仿宋_GB2312" w:hAnsi="宋体" w:eastAsia="仿宋_GB2312"/>
          <w:b/>
          <w:sz w:val="32"/>
          <w:szCs w:val="32"/>
        </w:rPr>
        <w:br w:type="textWrapping"/>
      </w:r>
      <w:r>
        <w:rPr>
          <w:rFonts w:hint="eastAsia" w:ascii="仿宋_GB2312" w:hAnsi="宋体" w:eastAsia="仿宋_GB2312"/>
          <w:b/>
          <w:sz w:val="32"/>
          <w:szCs w:val="32"/>
        </w:rPr>
        <w:t>2、认真做好绩效目标的编制。进一步加强预算管理意识，严格按照绩效目标编制的相关制度和要求，绩效目标尽可能的全面、细化，进一步提高绩效目标设立的科学性。加强过程监督、指导、检查和绩效评价是整体支出预算管理得以顺利实施并取得实施效果和达到预期目的关键。</w:t>
      </w:r>
      <w:r>
        <w:rPr>
          <w:rFonts w:hint="eastAsia" w:ascii="仿宋_GB2312" w:hAnsi="宋体" w:eastAsia="仿宋_GB2312"/>
          <w:b/>
          <w:sz w:val="32"/>
          <w:szCs w:val="32"/>
        </w:rPr>
        <w:br w:type="textWrapping"/>
      </w:r>
      <w:r>
        <w:rPr>
          <w:rFonts w:hint="eastAsia" w:ascii="仿宋_GB2312" w:hAnsi="宋体" w:eastAsia="仿宋_GB2312"/>
          <w:b/>
          <w:sz w:val="32"/>
          <w:szCs w:val="32"/>
        </w:rPr>
        <w:t>3、加强制度建设。对预算绩效管理的对象和内容、预算绩效管理职责、绩效目标管理、绩效运行监控管理、绩效评价管理及绩效评价结果反馈和应用管理方面进行规定。</w:t>
      </w:r>
      <w:r>
        <w:rPr>
          <w:rFonts w:hint="eastAsia" w:ascii="仿宋_GB2312" w:hAnsi="宋体" w:eastAsia="仿宋_GB2312"/>
          <w:b/>
          <w:sz w:val="32"/>
          <w:szCs w:val="32"/>
        </w:rPr>
        <w:br w:type="textWrapping"/>
      </w:r>
      <w:r>
        <w:rPr>
          <w:rFonts w:hint="eastAsia" w:ascii="仿宋_GB2312" w:hAnsi="宋体" w:eastAsia="仿宋_GB2312"/>
          <w:b/>
          <w:sz w:val="32"/>
          <w:szCs w:val="32"/>
        </w:rPr>
        <w:br w:type="textWrapping"/>
      </w:r>
      <w:r>
        <w:rPr>
          <w:rFonts w:hint="eastAsia" w:ascii="仿宋_GB2312" w:hAnsi="宋体" w:eastAsia="仿宋_GB2312"/>
          <w:b/>
          <w:sz w:val="32"/>
          <w:szCs w:val="32"/>
        </w:rPr>
        <w:t>（二）建议</w:t>
      </w:r>
      <w:r>
        <w:rPr>
          <w:rFonts w:hint="eastAsia" w:ascii="仿宋_GB2312" w:hAnsi="宋体" w:eastAsia="仿宋_GB2312"/>
          <w:b/>
          <w:sz w:val="32"/>
          <w:szCs w:val="32"/>
        </w:rPr>
        <w:br w:type="textWrapping"/>
      </w:r>
      <w:r>
        <w:rPr>
          <w:rFonts w:hint="eastAsia" w:ascii="仿宋_GB2312" w:hAnsi="宋体" w:eastAsia="仿宋_GB2312"/>
          <w:b/>
          <w:sz w:val="32"/>
          <w:szCs w:val="32"/>
        </w:rPr>
        <w:t>1.选取切实可行、操作性较强的考核指标，建立考核指标的标准模板。</w:t>
      </w:r>
      <w:r>
        <w:rPr>
          <w:rFonts w:hint="eastAsia" w:ascii="仿宋_GB2312" w:hAnsi="宋体" w:eastAsia="仿宋_GB2312"/>
          <w:b/>
          <w:sz w:val="32"/>
          <w:szCs w:val="32"/>
        </w:rPr>
        <w:br w:type="textWrapping"/>
      </w:r>
      <w:r>
        <w:rPr>
          <w:rFonts w:hint="eastAsia" w:ascii="仿宋_GB2312" w:hAnsi="宋体" w:eastAsia="仿宋_GB2312"/>
          <w:b/>
          <w:sz w:val="32"/>
          <w:szCs w:val="32"/>
        </w:rPr>
        <w:t>2.加强资金使用部门对绩效评价工作的认识和重视程度，并将评价结果运用于工作始终。</w:t>
      </w:r>
      <w:r>
        <w:rPr>
          <w:rFonts w:hint="eastAsia" w:ascii="仿宋_GB2312" w:hAnsi="宋体" w:eastAsia="仿宋_GB2312"/>
          <w:b/>
          <w:sz w:val="32"/>
          <w:szCs w:val="32"/>
        </w:rPr>
        <w:br w:type="textWrapping"/>
      </w:r>
      <w:r>
        <w:rPr>
          <w:rFonts w:hint="eastAsia" w:ascii="仿宋_GB2312" w:hAnsi="宋体" w:eastAsia="仿宋_GB2312"/>
          <w:b/>
          <w:sz w:val="32"/>
          <w:szCs w:val="32"/>
        </w:rPr>
        <w:t>3.根据整体绩效实施计划，制定出科学合理的资金使用计划，不断提高资金使用效率。</w:t>
      </w:r>
      <w:r>
        <w:rPr>
          <w:rFonts w:hint="eastAsia" w:ascii="仿宋_GB2312" w:hAnsi="宋体" w:eastAsia="仿宋_GB2312"/>
          <w:b/>
          <w:sz w:val="32"/>
          <w:szCs w:val="32"/>
        </w:rPr>
        <w:br w:type="textWrapping"/>
      </w:r>
      <w:r>
        <w:rPr>
          <w:rFonts w:hint="eastAsia" w:ascii="仿宋_GB2312" w:hAnsi="宋体" w:eastAsia="仿宋_GB2312"/>
          <w:b/>
          <w:sz w:val="32"/>
          <w:szCs w:val="32"/>
        </w:rPr>
        <w:t>4.希望通过学习和在实际工作中提高认识，进一步了解，加强评价管理，完善财政支出绩效评价制度。</w:t>
      </w:r>
    </w:p>
    <w:p w14:paraId="37F06586">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14:paraId="550E916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5AFF43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Pages>
  <Words>8111</Words>
  <Characters>8797</Characters>
  <Lines>2</Lines>
  <Paragraphs>1</Paragraphs>
  <TotalTime>12</TotalTime>
  <ScaleCrop>false</ScaleCrop>
  <LinksUpToDate>false</LinksUpToDate>
  <CharactersWithSpaces>8881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张涛</cp:lastModifiedBy>
  <dcterms:modified xsi:type="dcterms:W3CDTF">2025-02-28T09:38:02Z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eyJoZGlkIjoiZTJlNDBmZDg4NzQzM2UxZWE4MWMzYTNmYjU4NjJhMzkiLCJ1c2VySWQiOiIzODc1NDM2MTYifQ==</vt:lpwstr>
  </property>
  <property fmtid="{D5CDD505-2E9C-101B-9397-08002B2CF9AE}" pid="3" name="KSOProductBuildVer">
    <vt:lpwstr>2052-12.1.0.19770</vt:lpwstr>
  </property>
  <property fmtid="{D5CDD505-2E9C-101B-9397-08002B2CF9AE}" pid="4" name="ICV">
    <vt:lpwstr>09E19120B09E4ABB887D695F036DB1D0_12</vt:lpwstr>
  </property>
</Properties>
</file>