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项目实施单位为伊犁哈萨克自治州人民代表大会常务委员会办公厅,为独立核算的一级预算单位，位于伊宁市解放西路3号，赋码机关：中共伊犁哈萨克自治州委员会机构编制委员会办公室，统一社会信用代码证号11654000010333220E，机构性质：人大机关，负责人：谢持正。主要职责：负责自治州人民代表大会、常务委员会和党组会议、主任会议及其他重要会议的会务工作；负责常委会会议、党组会议、主任会议决议、决定的组织实施和督促检查；负责检查法律、法规和上级人大决议、决定在本行政区域内的执行，提出对策和意见；负责对“一府两院”及下级人大在适用法律方面提出的问题进行研究和答复；负责全州人大干部的培训、人大宣传、对外联络工作；负责机关干部队伍建设 ,离退休人员管理工作；负责机关财产、经费、安全保卫，接待等工作；办理常委会和主任会议以及常委会领导交办的其他工作。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伊犁州人大常委会办公厅无下属预算单位，下设一厅五委,分别是:办公厅、法制工作委员会、财经工作委员会、教科文卫工作委员会、民族宗教华侨工作委员会、代表人事工作委员会。办公厅内设六个职能处（室），分别是：秘书处、翻译处、组织处、行政处、信访处、研究室。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（2）2021年伊犁州人大常委会办公厅实有在职人员为69  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 69人（上年65人），同比上年增加4 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实有离休人员3人（上年3人）,与上年一致。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实有退休人员85人（上年79人）, 同比上年增加6人。</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财政部门的要求，部门预算及绩效目标在州政府网站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哈萨克自治州人大常委会机关财务管理制度》规定流程，资金支出按照单位内控体系中设定的流程申报审批进行；项目支出属于政府采购的，按照财政部门下发的《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2021年基本支出预算安排1334.65万元，实际到位1334.65万元,实际支出1312.65万元，占总支出的75.54％，其中：工资福利支出1051.58万元、商品和服务支167.64万元、对个人和家庭的补助93.43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万元、主要用于离休费、抚恤金、奖励金等 。资本性支出68.71万元。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2021年基本支出比上1552.99万元,减少240.34万元，下降15.41%，支出下降的主要原因一是财政压缩经费二是上年有去世人员抚恤金今年无死亡人员三是离退休副省级干部交通补助比例调低四是养老保险缴付比例调低等。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2021年一般公共预算“三公”经费数为25.3万元，其中：因公出国（境）费0 万元，公务用车购置 0万元，公务用车运行费 25.3 万元，公务接待费 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2021年一般公共预算“三公”经费比上年增加0万元，其中：因公出国（境）费增加0 万元，主要原因：本年及上年均未安排预算；公务用车购置费增加0万元，主要原因：本年及上年均未安排预算；公务用车运行费增加0 万元，主要原因：与上年预算一致；公务接待费 增加0万元，主要原因：本年及上年均未安排预算。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 年预算安排专项资金444.26万元，实际到位444.26  万元, 到位率100.00％,其中:中央转移支付项目资金0 万元，自治区资金 0 万元，本级安排 444.26 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2021年专项资金支出425.06万元，占总支出的24.46%，其中2021年专项项目支出比上年 319.3 万元增加105.76万元，上升33.12%。支出上升的主要原因是项目增加。其中：塔阿两地工作经费及专项业务费项目安排104.54万元，主要用于完成完成2021年年初给塔阿两地核拨20万元工作经费，余款84.54万元用于各地区人大代表到伊犁州人大培训考察及本级人大外出调研项目及安全生产行，环保世纪行，立法调研等项目期间所产生的差旅费、燃油费等的目标；人代会会议及常委会会议项目安排186.58万元，主要用于完成2021年度2月份在伊犁哈萨克自治州第十四届人民代表大会第五次会议的筹备和会务工作及2021度召开6次常委会；代表活动经费项目安排45.4万元，主要用于全州454名代表的活动经费，每人1000元，合计45.4万元，其中下拨362名每人1000元，其余用于92名州直机关、解放军代表由州人大统一组织活动；人大预算联网费项目11.09万元，主要用于为进一步加强和改进人大预算审查监督，实施全面规范、公开透明的预算制度，根据预算法、监督法等法律的规定，按照全国人大常委会《关于推进地方人大预算联网监督工作的指导意见》及自治区人大常委会关于推进人大预算联网监督工作的部署，结合本州实际，制定本方案；取暖补助费工作安排6.5万元，主要用于伊犁州人大办公楼供暖总价款的差额部分6.5万元；离退休交通补助费项目安排9.6万元，主要用于离退休副省级老干部4人，每人每年发放2.4万元交通补助费；办公楼基础设施维修41.35万元，主要用于办公楼外墙、楼顶等基础设施维修。基础人大补助经费（塔城）10万元; 基础人大补助经费（阿勒泰）10万元。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人代会会议项目》专项资金管理办法，各项资金使用审批流程均按规定办理。涉及“三重一大”内容，严格按照规定提请州人大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（2）建立人代会会议项目专项资金专帐，做到有据可依，有据可查。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（3）制订了人代会会议项目项目实施方案，确保人代会会议项目按时完成。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（4）认真组织人代会会议项目项目验收，确保人代会会议项目工作落实到位。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专项资金涉及政府采购项目的，按照州人大《采购与招标管理办法》，组织人员制定采购计划，按照财政局采购部门批复，进行公开招标、邀请招标等方式进行。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九个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截止12月30日，该专项均按照时间计划保质、保量完成。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2021年涉及专项资金444.26万元，实际到位444.26万元，资金到位率100.00%。截止到2021年12月 30日执行 425.06元，执行率95.68%。其中：2021年结转专项资金0万元，实际执行0万元，执行率为0.00%；2021年新增专项资金444.26万元，实际执行425.16万元，执行率为95.68%。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截止到2021年底，通过专项项目实施过程中的有效监督，州人大办公厅按预期完成了人代会议费专项和塔阿两地工作经费及专项业务费的专项任务。按照该专项年初设定的总体目标完成如下：人大会议经费费项目主要用于2021年2月在伊犁哈萨克自治州召开的第十四届人民代表大会第五次会议，其中涉及到会务的前期准备工作、预付宾馆会务费、大会期间的农牧民误工补贴、会议住宿餐饮会务费、大会证件、印刷费及会标等各项零星开支。塔阿两地工作经费及专项业务费项目，主要用于完成完成2021年年初给塔阿两地核拨20万元工作经费，余款用于各地区人大代表到伊犁州人大培训考察及本级人大外出调研项目及安全生产行，环保世纪行，立法调研等项目期间所产生的差旅费、燃油费等。会议决策知晓度高，群众满意度较高，完成率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州人大办公厅，根据2021年9个项目的绩效目标及工作内容，将其细化分工至本单位行政处，加强组织领导，明确分工，各司其职，抓好工作目标任务的落实完成，同时年中要求行政处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人大办公厅，实施的9个项目，由行政处指派专人进行全过程跟踪管理，行政处统筹推进项目实施，单位领导不定期对项目进度进行调度，并对项目质量进行控制。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办公厅行政处从项目实施方案、项目预算、项目建设进度、项目成本、项目验收等环节，全过程对项目进行监管，并向人大常委会主要领导报告，以推进项目建设和提高项目质量，充分发挥资金使用效益。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人大办公厅，所涉及专项项目均已于专项资金下达后按照资金文件及绩效管理要求设置《项目绩效目标表》。9个专项项目预算总额为444.26万元，在项目实施过程中，业务人员加强项目管理，合理控制项目成本，截止项目结束，9个项目总成本为425.06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伊犁州人大办公厅，所涉及专项项目使用资金比专项项目总预算减少 19.2万元，项目节约率为4.32%.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2021年伊犁州人大办公厅，共涉及专项项目9个，截止到2021年底，通过专项项目实施过程中的有效监督，我单位按预期完成了9个专项的各项专项任务，项目总体完成率为100%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九个专项项目完成质量情况如下：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塔阿两地工作经费及专项业务费项目安排104.54万元：两地核拨20万元工作经费，余款用于各地区人大代表到伊犁州人大培训考察及本级人大外出调研项目及安全生产行，环保世纪行，立法调研等项目期间所产生的差旅费、燃油费等，已于2021年底完成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（2）人代会会议及常委会会议项目186.58万元，主要用于完成2021年度2月份在伊犁哈萨克自治州第十四届人民代表大会第五次会议的筹备和会务工作及2021度召开6次常委会会议期间的食宿等开支。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（3）代表活动经费项目45.4万元，主要用于全州454名代表的活动经费，每人1000元，合计45.4万元。 其中下拨362名每人1000元，其余用于92名州直机关、解放军代表由州人大统一组织活动。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人大预算联网费项目11.09万元，按照全国人大常委会《关于推进地方人大预算联网监督工作的指导意见》及自治区人大常委会关于推进人大预算联网监督工作的部署，主要用于为进一步加强和改进人大预算审查监督，实施全面规范、公开透明的预算制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取暖补助费工作安排6.5万元，主要用于伊犁州人大办公楼供暖总价款的差额部分.州人大办公楼供暖总面积5219.69平方米，总价款76720.49元，而实际财政供暖给予16555元，完成不了总面积的给付价款，固依据财经领导小组会议文件精神，给付供暖总价款的差额部分65000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（6）离退休交通补助费项目安排9.6万元，主要用于离退休副省级老干部4人，每人每年发放2.4万元交通补助费。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（7）办公楼基础设施维修41.35万元，主要用于办公楼外墙、楼顶等基础设施维修。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（8）基层人大补助10万元。拨付塔城人大工委工作经费10万元，主要用于弥补工作经费不足及改善办公条件。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（9）基层人大补助10万元。拨付阿勒泰人大工委工作经费10万元，主要用于弥补工作经费不足及改善办公条件。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九个专项项目预期目标完成程度、实施对经济和社会的影响如下：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塔阿两地工作经费及专项业务费项目安排104.54万元。此项目主要用于拨付塔城、阿勒泰人大工委工作经费20万元，余额用于各地区人大代表到伊犁州人大培训考察及本级人大各工委外出调研、环保世纪行、安全生产行、立法调研、执法检查、开展民族团结活动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人代会会议及常委会会议项目186.58万元。主要用于完成2021年度2月份在伊犁哈萨克自治州第十四届人民代表大会第五次会议的筹备和会务工作及2021度召开6次常委会会议期间的食宿等开支。该项目会议决策知晓度高，群众满意度较高，完成率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3、代表活动经费项目45.4万元。项目所设定的绩效目标依据充分，绩效指标明确，项目资金分配额度合理，资金到位及时，人大代表活动经费足额下发，为人大代表开展培训、视察、密切联系人民群众提供保障。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4、人大预算联网费项目11.09万元。主要用于为进一步加强和改进人大预算审查监督，实施全面规范、公开透明的预算制度。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5、取暖补助费工作安排6.5万元。.州人大办公楼供暖总面积5219.69平方米，总价款76720.49元，财政年初预算16555元，主要用于伊犁州人大办公楼供暖总价款的差额部分。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6、离退休交通补助费项目安排9.6万元。主要用于离退休副省级老干部4人，每人每年发放2.4万元交通补助费。该项目的完成保障了副省级离退休老干部的日常生活和交通出行。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7、办公楼基础设施维修41.35万元。主要用于办公楼外墙、楼顶等基础设施维修。通过维修改造，有效消除安全隐患，恢复和完善办公用房使用功能，为单位办公需要提供了有力的保障。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8、基层人大补助10万元。拨付塔城人大工委工作经费10万元，主要用于弥补工作经费不足和逐步完成基层各级人大办公条件的改善。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9、基层人大补助10万元。拨付阿勒泰人大工委工作经费10万元，主要用于弥补工作经费不足和逐步完成基层各级人大办公条件的改善。</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2021年我单位资产总额485.45万元，其中流动资产40.64万元（其中其它应收款净额40.64），固定资产净值526.09万元（其中：土地、房屋及构筑物 279.26万元，占固定资产净值的53.08%；通用设备  187.88万元，占固定资产净值的35.71%；专用设备0万元，占固定资产净值的0.00%）。</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本年度流动资产40.64 万元，比上年减少45.71万元,原因是：压缩办公经费。</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本年度固定资产485.45万元，比上年减少67.16万元，原因是： 提取固定资产折旧等。</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实际在用固定资产485.45万元，固定资产利用率100.00%。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州人大办公厅财务管理的相关要求，制定了《固定资产管理办法》和《政府采购管理办法》等固定资产和办公用品使用、审批的内部管理规范。固资产购入后，按报销程序履行报销手续，并且及时进行固定资产登记，机关每年对固定资产进行一次全面清查盘点，确保做到帐实相符，防止固定资产的流失。对盘盈、盘亏的固定资产，注明原因，报办公厅核准并及时进行</w:t>
      </w:r>
      <w:r>
        <w:rPr>
          <w:rFonts w:hint="eastAsia" w:ascii="仿宋_GB2312" w:hAnsi="宋体" w:eastAsia="仿宋_GB2312"/>
          <w:b/>
          <w:sz w:val="32"/>
          <w:szCs w:val="32"/>
          <w:lang w:val="en-US" w:eastAsia="zh-CN"/>
        </w:rPr>
        <w:t>账务</w:t>
      </w:r>
      <w:bookmarkStart w:id="1" w:name="_GoBack"/>
      <w:bookmarkEnd w:id="1"/>
      <w:r>
        <w:rPr>
          <w:rFonts w:hint="eastAsia" w:ascii="仿宋_GB2312" w:hAnsi="宋体" w:eastAsia="仿宋_GB2312"/>
          <w:b/>
          <w:sz w:val="32"/>
          <w:szCs w:val="32"/>
        </w:rPr>
        <w:t>处理。一年来，州人大机关严格按照办公厅制定的固定资产管理制度来管理固定资产。</w:t>
      </w:r>
      <w:r>
        <w:rPr>
          <w:rFonts w:hint="eastAsia" w:ascii="仿宋_GB2312" w:hAnsi="宋体" w:eastAsia="仿宋_GB2312"/>
          <w:b/>
          <w:sz w:val="32"/>
          <w:szCs w:val="32"/>
        </w:rPr>
        <w:br w:type="textWrapping"/>
      </w:r>
      <w:r>
        <w:rPr>
          <w:rFonts w:hint="eastAsia" w:ascii="仿宋_GB2312" w:hAnsi="宋体" w:eastAsia="仿宋_GB2312"/>
          <w:b/>
          <w:sz w:val="32"/>
          <w:szCs w:val="32"/>
        </w:rPr>
        <w:t>2、我单位流动资产根据《行政事业单位资产管理制度》，对货币资金加强管理，统一设立银行存款账户，未经财政主管部门同意不允许单独设立财政监管以外的银行存款账户；现金开支按照规定开支范围支付，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2021年度我单位年初预算安排1583.21万元，年中调整126.51 万元，截止12月底支出 1737.71万元，执行率97.68%。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2021年，在财政的大力支持和党委的正确领导下，我单位迎难而上、务实重干，积极推动各项人大工作取得了新的进展，为促进经济持续健康发展与社会和谐稳定提供了有力的经济支撑和保障。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1、圆满完成伊犁州人大各项工作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保障了人大办公厅的各项工作正常运转，按时发放人大在职及离休人员工资经费，及时缴纳在职及离退休人员养老、职业年金、医疗、住房公积金等社保缴费项目，按时缴纳暖气费、电费、水费、电话费等，保障领导出差调研工作的开展，按时完成人大办公厅的各类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2、伊犁州人大办公厅各项任务提前完成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会议及常委会的顺利召开，加强资金管理，其中涉及到会务的前期准备工作、预付宾馆会务费、大会期间的农牧民误工补贴、会议住宿餐饮会务费、大会证件、印刷费及会标等各项零星开支按时支付；完成了各项业务费支出项目，按时下拨代表活动经费及塔阿两地工作经费，下拨362名每人1000元代表活动经费，对92名州直机关、解放军代表由州人大统一组织活动；按合同约定完成人大预算联网监督工作，2021年给塔阿两地核拨了20万元工作经费，伊犁州人大开展培训考察及本级人大外出调研项目及安全生产行，环保世纪行，立法调研等项目按期开展，已将离退休老干部交通费按时拨付到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3、伊犁州人大办公厅整体工作成效显著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各项任务均保质保量按时完成，干部职工及人民代表好评率98%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4、州人大办公厅整体绩效全面达标，群众满意度高。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2021年，在州党委及州人大党组的大力正确领导下，州人大办公厅迎难而上、务实重干，积极推动各项工作取得了新的进展，为促进经济持续健康发展与社会和谐稳定提供了有力的保障。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进一步提升办公厅“三服务”的能力和水平，增加参谋助手作用，加强综合协调能力，提升办文办会水平；二是促进机关运转提速。完善工作管理制度，提升信息工作水平，增强信息化平台建设，提高机关综合办事能力，总结新经验，解决新问题；三是统筹兼顾，突出重点，做好资金管理工作。持续推进机关调研、执法检查等各项工作，努力展现新时代人大工作新作为。保障人大会议及常委会的顺利召开，加强资金管理，其中涉及到会务的前期准备工作、预付宾馆会务费、大会期间的农牧民误工补贴、会议住宿餐饮会务费、大会证件、印刷费及会标等各项零星开支按时支付；力争完成各项业务费支出项目，按时下拨代表活动经费及塔阿两地工作经费，下拨362名每人1000元代表活动经费，对92名州直机关、解放军代表由州人大统一组织活动；按期完成人大预算联网监督工作，2021年给塔阿两地核拨20万元工作经费，伊犁州人大开展培训考察及本级人大外出调研项目及安全生产行，环保世纪行，立法调研等项目，将离退休老干部交通费按时拨付到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州人大办公厅部门单位整体绩效目标共设置一级指标3个，二级指标7 个，三级指标 33个，详细说明如下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指标1：保障在职人员人数，指标值：=69人，实际完成值：69人，指标完成率：100.00%；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指标2：开展代表培训、集中视察次数，指标值：&gt;=2次，实际完成值：2次，指标完成率：100.00%；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指标3：退休副省级领导交通费补贴数量，指标值：=4人，实际完成值：4人，指标完成率：100.00%；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指标4：调研县市数量，指标值：&gt;=10个，实际完成值：10个，指标完成率：100.00%；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指标5：常委会次数，指标值：=6次，实际完成值：6次，指标完成率：100.00%；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指标6：每年人代会次数，指标值：=1次，实际完成值：1次，指标完成率：100.00%；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指标7：办公室供暖面积，指标值:=5219.69平方米，实际完成值:5219.69平方米，指标完成率：100.00%；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指标2：代表培训、集中视察覆盖率，指标值：=100%，实际完成值：100%，指标完成率：100.00%；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指标3:调研覆盖率，指标值：=100%、实际完成值：100%，指标完成率：100.00%；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指标4：会议提议覆盖率，指标值：&gt;=95%，实际完成值：100%，指标完成率：105.26%；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指标5：供暖覆盖率，指标值：=100%，实际完成值：100%，指标完成率：100.00%；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指标6：补助资金发放覆盖率，指标值：=100%，实际完成值：100%，指标完成率：100.00%；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指标2：年度培训、集中视察工作按时完成率，指标值：=100%，实际完成值：100%，指标完成率：100.00%；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指标3：补助发放及时率，指标值：=100%，实际完成值：100%，指标完成率：100.00%；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指标4：塔阿两地业务经费拨付及时率，指标值：=100%，实际完成值：100%，指标完成率：100.00%；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指标5：年度人民代表大会及常委会会议按时完成率，指标值：=100%，实际完成值：100%，指标完成率：100.00%；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指标6：供暖费支付及时率，指标值：=100%，实际完成值：100%，指标完成率：100.00%。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指标1：人均支出标准，指标值：=14.73万元，实际完成值：14.18万元，指标完成率：96.27%;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指标2：人均运转经费，指标值：=2.84万元，实际完成值：2.43万元，指标完成率：85.56%;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指标3：代表培训、集中视察成本，指标值：=9.2万元，实际完成值：9.2万元，指标完成率：100.00%;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指标4：人民代表大会会议费，指标值：=176万元，实际完成值：176万元，指标完成率：100.00%;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指标5：副省级离退休老干部交通费补助标准，指标值：=5万元/人，实际完成值：2.4万元/人，指标完成率：48.00%;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指标6：人大业务日常办公运转经费，指标值;=80万元，实际完成值：80万元，指标完成率：100.00%.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指标1：加强对预算执行情况的监督，指标值：显著加强，实际完成值：显著加强，指标完成率：100.00%；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指标2：加大维护民族团结力度:指标值：效果显著，实际完成值：效果显著，指标完成率：100.00%；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指标3：人大代表密切联系群众，指标值：效果显著，际完成值：效果显著，指标完成率：100.00%；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指标4：明确全州经济社会发展主要预期目标，指标值：效果显著，实际完成值：效果显著，指标完成率：100.00%；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指标1：职工满意度，指标值：=100%，实际完成值：100%，指标完成率：100.00%；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指标2：受益代表满意度，指标值:&gt;=95%,实际完成值：100%，指标完成率：105.26%；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指标3:退休老领导满意度，指标值：=100%，实际完成值：100%，指标完成率：100.00%</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（一）预算编制有待更严格执行。预算编制与实际支出项目有的仍存在细微差异。</w:t>
      </w:r>
      <w:r>
        <w:rPr>
          <w:rFonts w:hint="eastAsia" w:ascii="仿宋_GB2312" w:hAnsi="宋体" w:eastAsia="仿宋_GB2312"/>
          <w:b/>
          <w:sz w:val="32"/>
          <w:szCs w:val="32"/>
        </w:rPr>
        <w:br w:type="textWrapping"/>
      </w:r>
      <w:r>
        <w:rPr>
          <w:rFonts w:hint="eastAsia" w:ascii="仿宋_GB2312" w:hAnsi="宋体" w:eastAsia="仿宋_GB2312"/>
          <w:b/>
          <w:sz w:val="32"/>
          <w:szCs w:val="32"/>
        </w:rPr>
        <w:t>（二）预算绩效的管理只有少数人参与，并没有做到全体干部职工都做到重视预算绩效的重要性。</w:t>
      </w:r>
      <w:r>
        <w:rPr>
          <w:rFonts w:hint="eastAsia" w:ascii="仿宋_GB2312" w:hAnsi="宋体" w:eastAsia="仿宋_GB2312"/>
          <w:b/>
          <w:sz w:val="32"/>
          <w:szCs w:val="32"/>
        </w:rPr>
        <w:br w:type="textWrapping"/>
      </w:r>
      <w:r>
        <w:rPr>
          <w:rFonts w:hint="eastAsia" w:ascii="仿宋_GB2312" w:hAnsi="宋体" w:eastAsia="仿宋_GB2312"/>
          <w:b/>
          <w:sz w:val="32"/>
          <w:szCs w:val="32"/>
        </w:rPr>
        <w:t>（三）预算绩效的管理的细致性不够。</w:t>
      </w:r>
      <w:r>
        <w:rPr>
          <w:rFonts w:hint="eastAsia" w:ascii="仿宋_GB2312" w:hAnsi="宋体" w:eastAsia="仿宋_GB2312"/>
          <w:b/>
          <w:sz w:val="32"/>
          <w:szCs w:val="32"/>
        </w:rPr>
        <w:br w:type="textWrapping"/>
      </w:r>
      <w:r>
        <w:rPr>
          <w:rFonts w:hint="eastAsia" w:ascii="仿宋_GB2312" w:hAnsi="宋体" w:eastAsia="仿宋_GB2312"/>
          <w:b/>
          <w:sz w:val="32"/>
          <w:szCs w:val="32"/>
        </w:rPr>
        <w:t>（四）固定资产管理有待加强。</w:t>
      </w:r>
      <w:r>
        <w:rPr>
          <w:rFonts w:hint="eastAsia" w:ascii="仿宋_GB2312" w:hAnsi="宋体" w:eastAsia="仿宋_GB2312"/>
          <w:b/>
          <w:sz w:val="32"/>
          <w:szCs w:val="32"/>
        </w:rPr>
        <w:br w:type="textWrapping"/>
      </w:r>
      <w:r>
        <w:rPr>
          <w:rFonts w:hint="eastAsia" w:ascii="仿宋_GB2312" w:hAnsi="宋体" w:eastAsia="仿宋_GB2312"/>
          <w:b/>
          <w:sz w:val="32"/>
          <w:szCs w:val="32"/>
        </w:rPr>
        <w:t>（五）财务管理方面有待加强，会计核算还不够细致，绩效评价基础数据不够精准。</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 加强内部控制。加强财务管理，强化财务监督，增强法纪观念，遵守规章制度。为保证财务管理工作规范有序进行，对各项资金的管理、经费收支审批等均作了明确规定，正确组织资金的筹集、调度和使用，各项经费支出实行限额把关、审批制度。严格执行上级的规定，专题报告需经会议研究通过。</w:t>
      </w:r>
      <w:r>
        <w:rPr>
          <w:rFonts w:hint="eastAsia" w:ascii="仿宋_GB2312" w:hAnsi="宋体" w:eastAsia="仿宋_GB2312"/>
          <w:b/>
          <w:sz w:val="32"/>
          <w:szCs w:val="32"/>
        </w:rPr>
        <w:br w:type="textWrapping"/>
      </w:r>
      <w:r>
        <w:rPr>
          <w:rFonts w:hint="eastAsia" w:ascii="仿宋_GB2312" w:hAnsi="宋体" w:eastAsia="仿宋_GB2312"/>
          <w:b/>
          <w:sz w:val="32"/>
          <w:szCs w:val="32"/>
        </w:rPr>
        <w:t>2、强化制度执行。切实做好厉行节约工作，全面落实各项管理制度要求，努力降低行政成本。严格公务接待费、差旅费、会议费和培训费审核审批程序，加强对公务用车的管理，实行限额把关、审批制度，做到一事一公函、一事一审批、一事一结账，会议费和培训费严格按年初计划和制度规定的标准执行。 “三公”经费较好地控制在预算范围之内。</w:t>
      </w:r>
      <w:r>
        <w:rPr>
          <w:rFonts w:hint="eastAsia" w:ascii="仿宋_GB2312" w:hAnsi="宋体" w:eastAsia="仿宋_GB2312"/>
          <w:b/>
          <w:sz w:val="32"/>
          <w:szCs w:val="32"/>
        </w:rPr>
        <w:br w:type="textWrapping"/>
      </w:r>
      <w:r>
        <w:rPr>
          <w:rFonts w:hint="eastAsia" w:ascii="仿宋_GB2312" w:hAnsi="宋体" w:eastAsia="仿宋_GB2312"/>
          <w:b/>
          <w:sz w:val="32"/>
          <w:szCs w:val="32"/>
        </w:rPr>
        <w:t>3、全面加强预算管理。加强年度预算的管理，建立预算单位责任制，切实加强领导，明确责任，各级领导都要重视，都要参与，要改变认为全面预算管理只是财政部门和财务人员的工作，与其他人员无关的错误认识。为确保预算指标的完成，严格预算监督管理，对预算责任单位的所有支出必须按制度和流程规定纳入预算统筹安排。</w:t>
      </w:r>
      <w:r>
        <w:rPr>
          <w:rFonts w:hint="eastAsia" w:ascii="仿宋_GB2312" w:hAnsi="宋体" w:eastAsia="仿宋_GB2312"/>
          <w:b/>
          <w:sz w:val="32"/>
          <w:szCs w:val="32"/>
        </w:rPr>
        <w:br w:type="textWrapping"/>
      </w:r>
      <w:r>
        <w:rPr>
          <w:rFonts w:hint="eastAsia" w:ascii="仿宋_GB2312" w:hAnsi="宋体" w:eastAsia="仿宋_GB2312"/>
          <w:b/>
          <w:sz w:val="32"/>
          <w:szCs w:val="32"/>
        </w:rPr>
        <w:t>4、加强项目资金的合理使用。严格按照《中华人民共和国会计法》第十四条：“会计机构、会计人员必须按照国家统一的会计制度的规定对原始凭证进行审核，对不真实、不合法的原始凭证有权不予接受，并向单位负责人报告；对记载不准确、不完整的原始凭证予以退回，并要求按照国家统一的会计制度的规定更正、补充。</w:t>
      </w:r>
      <w:r>
        <w:rPr>
          <w:rFonts w:hint="eastAsia" w:ascii="仿宋_GB2312" w:hAnsi="宋体" w:eastAsia="仿宋_GB2312"/>
          <w:b/>
          <w:sz w:val="32"/>
          <w:szCs w:val="32"/>
        </w:rPr>
        <w:br w:type="textWrapping"/>
      </w:r>
      <w:r>
        <w:rPr>
          <w:rFonts w:hint="eastAsia" w:ascii="仿宋_GB2312" w:hAnsi="宋体" w:eastAsia="仿宋_GB2312"/>
          <w:b/>
          <w:sz w:val="32"/>
          <w:szCs w:val="32"/>
        </w:rPr>
        <w:t>5、加强资料的管理。加强对资料的日常管理，对主要项目资料、文件应当归档保存，对缺少的资料进行补充。</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加大预算绩效管理培训力度，加强资金使用的决策与控制，强化资金管理以保证资金使用的高效率。</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57B76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10219</Words>
  <Characters>11164</Characters>
  <Lines>2</Lines>
  <Paragraphs>1</Paragraphs>
  <TotalTime>12</TotalTime>
  <ScaleCrop>false</ScaleCrop>
  <LinksUpToDate>false</LinksUpToDate>
  <CharactersWithSpaces>11240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2025-02-28T09:42:05Z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2052-12.1.0.19770</vt:lpwstr>
  </property>
  <property fmtid="{D5CDD505-2E9C-101B-9397-08002B2CF9AE}" pid="4" name="ICV">
    <vt:lpwstr>177B2C2CB1C64331AF745BF165C27717_12</vt:lpwstr>
  </property>
</Properties>
</file>