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75B3F9">
      <w:pPr>
        <w:widowControl/>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p>
    <w:p w14:paraId="2B863724">
      <w:pPr>
        <w:spacing w:line="540" w:lineRule="exact"/>
        <w:jc w:val="center"/>
        <w:rPr>
          <w:rFonts w:ascii="方正小标宋_GBK" w:hAnsi="华文中宋" w:eastAsia="方正小标宋_GBK" w:cs="宋体"/>
          <w:b/>
          <w:kern w:val="0"/>
          <w:sz w:val="48"/>
          <w:szCs w:val="48"/>
        </w:rPr>
      </w:pPr>
    </w:p>
    <w:p w14:paraId="56FE3831">
      <w:pPr>
        <w:spacing w:line="540" w:lineRule="exact"/>
        <w:jc w:val="center"/>
        <w:rPr>
          <w:rFonts w:ascii="方正小标宋_GBK" w:hAnsi="华文中宋" w:eastAsia="方正小标宋_GBK" w:cs="宋体"/>
          <w:b/>
          <w:kern w:val="0"/>
          <w:sz w:val="48"/>
          <w:szCs w:val="48"/>
        </w:rPr>
      </w:pPr>
    </w:p>
    <w:p w14:paraId="71BEA104">
      <w:pPr>
        <w:spacing w:line="540" w:lineRule="exact"/>
        <w:jc w:val="center"/>
        <w:rPr>
          <w:rFonts w:ascii="方正小标宋_GBK" w:hAnsi="华文中宋" w:eastAsia="方正小标宋_GBK" w:cs="宋体"/>
          <w:b/>
          <w:kern w:val="0"/>
          <w:sz w:val="48"/>
          <w:szCs w:val="48"/>
        </w:rPr>
      </w:pPr>
    </w:p>
    <w:p w14:paraId="393401E7">
      <w:pPr>
        <w:spacing w:line="540" w:lineRule="exact"/>
        <w:jc w:val="center"/>
        <w:rPr>
          <w:rFonts w:ascii="方正小标宋_GBK" w:hAnsi="华文中宋" w:eastAsia="方正小标宋_GBK" w:cs="宋体"/>
          <w:b/>
          <w:kern w:val="0"/>
          <w:sz w:val="48"/>
          <w:szCs w:val="48"/>
        </w:rPr>
      </w:pPr>
    </w:p>
    <w:p w14:paraId="1B39C0AE">
      <w:pPr>
        <w:spacing w:line="540" w:lineRule="exact"/>
        <w:jc w:val="center"/>
        <w:rPr>
          <w:rFonts w:ascii="方正小标宋_GBK" w:hAnsi="华文中宋" w:eastAsia="方正小标宋_GBK" w:cs="宋体"/>
          <w:b/>
          <w:kern w:val="0"/>
          <w:sz w:val="48"/>
          <w:szCs w:val="48"/>
        </w:rPr>
      </w:pPr>
    </w:p>
    <w:p w14:paraId="11A18AD0">
      <w:pPr>
        <w:spacing w:line="540" w:lineRule="exact"/>
        <w:jc w:val="center"/>
        <w:rPr>
          <w:rFonts w:ascii="方正小标宋_GBK" w:hAnsi="华文中宋" w:eastAsia="方正小标宋_GBK" w:cs="宋体"/>
          <w:b/>
          <w:kern w:val="0"/>
          <w:sz w:val="48"/>
          <w:szCs w:val="48"/>
        </w:rPr>
      </w:pPr>
    </w:p>
    <w:p w14:paraId="7D56F87E">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自治区本级部门单位整体支出绩效</w:t>
      </w:r>
    </w:p>
    <w:p w14:paraId="0C87FD0D">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14:paraId="58039830">
      <w:pPr>
        <w:spacing w:line="540" w:lineRule="exact"/>
        <w:jc w:val="center"/>
        <w:rPr>
          <w:rFonts w:ascii="华文中宋" w:hAnsi="华文中宋" w:eastAsia="华文中宋" w:cs="宋体"/>
          <w:b/>
          <w:kern w:val="0"/>
          <w:sz w:val="52"/>
          <w:szCs w:val="52"/>
        </w:rPr>
      </w:pPr>
    </w:p>
    <w:p w14:paraId="1CF259AF">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2021</w:t>
      </w:r>
      <w:r>
        <w:rPr>
          <w:rFonts w:hint="eastAsia" w:hAnsi="宋体" w:eastAsia="仿宋_GB2312" w:cs="宋体"/>
          <w:kern w:val="0"/>
          <w:sz w:val="36"/>
          <w:szCs w:val="36"/>
        </w:rPr>
        <w:t>年度）</w:t>
      </w:r>
    </w:p>
    <w:p w14:paraId="186745CD">
      <w:pPr>
        <w:spacing w:line="540" w:lineRule="exact"/>
        <w:jc w:val="center"/>
        <w:rPr>
          <w:rFonts w:hAnsi="宋体" w:eastAsia="仿宋_GB2312" w:cs="宋体"/>
          <w:kern w:val="0"/>
          <w:sz w:val="30"/>
          <w:szCs w:val="30"/>
        </w:rPr>
      </w:pPr>
    </w:p>
    <w:p w14:paraId="4CED77EE">
      <w:pPr>
        <w:spacing w:line="540" w:lineRule="exact"/>
        <w:jc w:val="center"/>
        <w:rPr>
          <w:rFonts w:hAnsi="宋体" w:eastAsia="仿宋_GB2312" w:cs="宋体"/>
          <w:kern w:val="0"/>
          <w:sz w:val="30"/>
          <w:szCs w:val="30"/>
        </w:rPr>
      </w:pPr>
    </w:p>
    <w:p w14:paraId="4D1EB09D">
      <w:pPr>
        <w:spacing w:line="540" w:lineRule="exact"/>
        <w:jc w:val="center"/>
        <w:rPr>
          <w:rFonts w:ascii="方正小标宋_GBK" w:hAnsi="宋体" w:eastAsia="方正小标宋_GBK" w:cs="宋体"/>
          <w:kern w:val="0"/>
          <w:sz w:val="36"/>
          <w:szCs w:val="36"/>
        </w:rPr>
      </w:pPr>
      <w:r>
        <w:rPr>
          <w:rFonts w:hint="eastAsia" w:ascii="方正小标宋_GBK" w:hAnsi="宋体" w:eastAsia="方正小标宋_GBK" w:cs="宋体"/>
          <w:kern w:val="0"/>
          <w:sz w:val="36"/>
          <w:szCs w:val="36"/>
        </w:rPr>
        <w:t>参考模板</w:t>
      </w:r>
    </w:p>
    <w:p w14:paraId="2D6A57FE">
      <w:pPr>
        <w:spacing w:line="540" w:lineRule="exact"/>
        <w:jc w:val="center"/>
        <w:rPr>
          <w:rFonts w:hAnsi="宋体" w:eastAsia="仿宋_GB2312" w:cs="宋体"/>
          <w:kern w:val="0"/>
          <w:sz w:val="30"/>
          <w:szCs w:val="30"/>
        </w:rPr>
      </w:pPr>
    </w:p>
    <w:p w14:paraId="63BE86C2">
      <w:pPr>
        <w:spacing w:line="540" w:lineRule="exact"/>
        <w:jc w:val="center"/>
        <w:rPr>
          <w:rFonts w:hAnsi="宋体" w:eastAsia="仿宋_GB2312" w:cs="宋体"/>
          <w:kern w:val="0"/>
          <w:sz w:val="30"/>
          <w:szCs w:val="30"/>
        </w:rPr>
      </w:pPr>
    </w:p>
    <w:p w14:paraId="1F44B85D">
      <w:pPr>
        <w:spacing w:line="540" w:lineRule="exact"/>
        <w:jc w:val="center"/>
        <w:rPr>
          <w:rFonts w:hAnsi="宋体" w:eastAsia="仿宋_GB2312" w:cs="宋体"/>
          <w:kern w:val="0"/>
          <w:sz w:val="30"/>
          <w:szCs w:val="30"/>
        </w:rPr>
      </w:pPr>
    </w:p>
    <w:p w14:paraId="2A61933D">
      <w:pPr>
        <w:spacing w:line="540" w:lineRule="exact"/>
        <w:rPr>
          <w:rFonts w:hAnsi="宋体" w:eastAsia="仿宋_GB2312" w:cs="宋体"/>
          <w:kern w:val="0"/>
          <w:sz w:val="30"/>
          <w:szCs w:val="30"/>
        </w:rPr>
      </w:pPr>
    </w:p>
    <w:p w14:paraId="7C5A61A0">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3260287E">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部门单位名称（公章）：</w:t>
      </w:r>
    </w:p>
    <w:p w14:paraId="2DFE3CDF">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填报时间：     年     月     日</w:t>
      </w:r>
    </w:p>
    <w:p w14:paraId="0D71FB5A">
      <w:pPr>
        <w:spacing w:line="700" w:lineRule="exact"/>
        <w:jc w:val="left"/>
        <w:rPr>
          <w:rFonts w:hAnsi="宋体" w:eastAsia="仿宋_GB2312" w:cs="宋体"/>
          <w:kern w:val="0"/>
          <w:sz w:val="36"/>
          <w:szCs w:val="36"/>
        </w:rPr>
      </w:pPr>
    </w:p>
    <w:p w14:paraId="6E61B129">
      <w:pPr>
        <w:spacing w:line="700" w:lineRule="exact"/>
        <w:jc w:val="left"/>
        <w:rPr>
          <w:rFonts w:hAnsi="宋体" w:eastAsia="仿宋_GB2312" w:cs="宋体"/>
          <w:kern w:val="0"/>
          <w:sz w:val="36"/>
          <w:szCs w:val="36"/>
        </w:rPr>
      </w:pPr>
    </w:p>
    <w:p w14:paraId="20CD2773">
      <w:pPr>
        <w:spacing w:line="700" w:lineRule="exact"/>
        <w:jc w:val="left"/>
        <w:rPr>
          <w:rFonts w:hAnsi="宋体" w:eastAsia="仿宋_GB2312" w:cs="宋体"/>
          <w:kern w:val="0"/>
          <w:sz w:val="36"/>
          <w:szCs w:val="36"/>
        </w:rPr>
      </w:pPr>
    </w:p>
    <w:p w14:paraId="68C451FB">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基本概况</w:t>
      </w:r>
    </w:p>
    <w:p w14:paraId="40265AFE">
      <w:pPr>
        <w:spacing w:line="600" w:lineRule="exact"/>
        <w:ind w:left="648" w:firstLine="643" w:firstLineChars="200"/>
        <w:jc w:val="left"/>
        <w:rPr>
          <w:rFonts w:hint="eastAsia" w:ascii="仿宋_GB2312" w:hAnsi="宋体" w:eastAsia="仿宋_GB2312"/>
          <w:b/>
          <w:sz w:val="32"/>
          <w:szCs w:val="32"/>
        </w:rPr>
      </w:pPr>
      <w:r>
        <w:rPr>
          <w:rFonts w:hint="eastAsia" w:ascii="仿宋_GB2312" w:hAnsi="宋体" w:eastAsia="仿宋_GB2312"/>
          <w:b/>
          <w:sz w:val="32"/>
          <w:szCs w:val="32"/>
        </w:rPr>
        <w:t>（一）部门单位基本情况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1、主要职能</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 xml:space="preserve">   （1）贯彻执行国家、自治区退役军人思想政治、管理保障和安置优抚等工件的政策、法规，褒扬彰显退役军人为党、国家和人民牺牲奉献的精神风范和价值导向，发挥退役军人在社会稳定和长治久安目标中的作用。</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负责军队转业干部、复员干部、离休退休干部、退役士兵和无军籍退休退职职工的移交安置工作和自主择业、就业退役军人服务管理工作。落实退役军人留疆安置优惠优待政策。促进退役军人留在新疆，奉献基层、配合做好招录退役士兵留疆安置工作。</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(3)组织指导退役军人教育培训工作，协调扶持退役军人和随军随调家属就业创业。</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（4）会同有关部门执行落实国家、自治区退役军人特殊保障政策。</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(5)组织落实移交地方的离退休军人、符合条件的其他退役军人和无军籍退休退职职工的住房保障，以及退役军人医疗保障、社会保险等待遇保障工作。</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(6)组织指导伤病残退役军人服务管理和抚恤工作，落实有关退役军人医疗、疗养、养老等机构的规划政策并指导实施。承担不适应宜继续服役的伤病残军人相关工作。指导军供服务保障工作。</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（7）组织指导拥军优属工作。负责现役军人、退役军人、军队文职人员和军属优待、抚恤等工作，落实国民党抗战老兵等有关人员优待政策并指导实施。</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(8)负责烈士及退役军人荣誉奖励、军人公墓管理维护、纪念活动等工作。依法承担英雄烈士保护相关工作。审核拟列入全国和自治区重点保护单位的烈士纪念建筑物名录。总结表彰和宣扬退役军人、退役军人工作单位和个人先进典型事迹。</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（9）指导并监督检查退役军人相关法律法规和政策措施的落实。组织指导退役军人权益维护和落实有关人员的帮扶援助工作。</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(10)完成自治州党委、自治州人民政府交办的其他任务。</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11）伊犁哈萨克自治州光荣院是全额拨款的副县级事业单位，成立于1987年，根据民政部《光荣院管理办法》规定，我院主要职能是收养老年、残疾或者未满16周岁的烈士遗属、因公牺牲军人遗属、病故军人遗属和进入老年的残疾军人、复员军人、退伍军人，无法定赡养人、抚养人或法定赡养人、扶养人无赡养、抚养能力且享受国家定期优抚补助待遇的军人。</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2、机构人员构成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（1）组织机构设置：</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伊犁哈萨克自治州退役军人事务局的预算包括：伊犁哈萨克自治州退役军人事务局本级预算及下属 1 家预算单位在内的汇总预算。</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伊犁哈萨克自治州退役军人事务局本级下设 3个处室，分别是：综合处、移交安置和就业创业处、拥军优质和权益维护处。</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本部门（单位）中，行政单位 1家，事业单位1家，纳入伊犁哈萨克自治州退役军人事务局2021年部预算编制范围的二级预算单位包括：伊犁州光荣院</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（2）2021年伊犁哈萨克自治州退役军人事务局实有在职人员为42人，其中：</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行政在职16人（上年13人），同比上年增加3人；</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事业在职26人（上年27人），同比上年增加1人；</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实有离休人员0人（上年0人）, 同比上年增加 0 人。</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实有退休人员16人（上年15人）, 同比上年增加1人。</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3、重点工作计划</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双拥慰问项目，计划投入232万元，要完成州双拥工作小组办公室办公室根据采取主动了解部队需求，以帮助解决驻伊部队现实难题，以进一步树立服务部队的鲜明导向开展慰问。扎实做好拥军优属、拥军爱民工作，不断巩固和发展坚如磐石的军政军民团结。</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自主择业军转干部医疗保障项目，计划投入425.34万元，要完成为230名自主择业军转干部缴纳医疗费、冬季取暖费，自主择业军转干部走访慰问、个案帮扶、档案管理、自主择业工作信息化建设、就业招聘、就业创业典型宣传、创业服务以及其他日常管理服务工作，解决自主择业军转干部生活问题，保障自主择业军转干部享受相应的医疗保险待遇的目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（二）部门单位整体支出规模、使用方法和主要内容、涉及对象及范围等</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1、部门单位整体支出规模</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2021年我部门（单位）全年预算数为3792.27万元，其中：年初批复的财政拨款为1255.94万元，年中追加资金2536.33万元，调整率201.95%。对比上年5019.88万元减少1227.61万元，下降24.45%。</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2021年实际决算支出2740.09万元，执行率72.25%，其中：</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基本支出606.93万元，占总支出的22.15％，主要用于本单位机构正常运转、完成日常工作任务而发生的各项支出。其中：工资福利支出541.01万元，主要用于在职和离退休人员基本工资、津贴补贴等人员经费。商品和服务支出56.95万元，主要用于办公费、印刷费、水电费、办公设备购置等。对个人和家庭的补助8.97万元，主要用于生活补助和奖励金。</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项目支出2133.16万元，占总支出的77.85％。其中：1.双拥慰问项目安排232.00万元，主要用于完成慰问部队26家，慰问特警部队2家，慰问涉军服务单位4家，慰问老红军、烈军属、残疾军人30人；2.自主择业军转干部医疗保障项目项目安排425.34万元，主要用于完成为230名自主择业军转干部的2021年医疗保障，发放冬季取暖费进一步巩固和发展军政军民团结，维护我州社会稳定及全区长治久安，推动我州经济建设健康发展。3.企业军转干部生活困难补助资金专项经费项目安排76.40万元，主要用于完成保障生活困难企业军转干部基本生活，认真解决部分企业军转干部养老问题，落实部分困难企业军转干部基本医疗保障待遇；积极为失业下岗企业军转干部提供就业帮助和服务。4.自主择业军队转业干部专项补助项目安排57.21万元，主要用于完成保障自主择业军转干部离队报到、档案结转、年度身份认证、组织生活等日常管理服务工作开展；做好自主择业军转干部就业招聘、就业创业典型宣传、创业服务；做好自主择业军转干部重大节日走访慰问、个案帮扶工作。5.退役安置补助资金项目安排778.98万元，主要用于完成提高1984年以来接收军队离退休干部及其家属、遗属医疗、生活保障待遇，维护服务管理机构正常运转，退役士兵社会保险接续补助,主要用于完成为部分退役士兵补缴基本养老保险，解决部分退役士兵未参保和断缴问题，保障退役士兵享受相应的养老保险待遇。6.军供站专项业务经费项目安排90.00万元，主要用于完成军供保障队伍演练任务，有效提升军供队伍保障效能，确保边疆社会长治久安。7.院民生活费项目安排63.59万元，主要用于我院集中供养老人在院生活补助开支514800元、医疗补助开支114122.31元、采暖补助开支7020元的支付，为我院集中供养人员保障了他们饮食起居。在饮食上，荤素搭配，营养均衡；在生活上，打饭、洗衣、理发、剪指甲等，面面俱到，确保老人们的生活安全有保障；在医疗上，与解放军946医院建立绿色通道，让他们小病不担心，大病有保障，并为他们购买所需药品。使老人们在我院老有所依、病有所医，让他们有荣誉感、归属感。8.康复中心餐厅配套项目安排72.79万元，主要用于根据伊宁市总体规划，食堂拟建于伊犁州光荣院内东边围墙处，计划建筑总面积1944㎡，地上三层框架结构，可同时容纳400人就餐，切实保障好退役军人的集中休养生活。军疗中心附属餐厅工程项目于2020年12月竣工验收，该项目用于支付支付军疗中心附属餐厅工程尾款66.68万元，餐厅工程咨询费2.79万元，餐厅工程监理费3.32万元，确保该项目正常运转。9.伤残军人康复中心标准化建设项目安排336.85万元，主要用于做好军疗中心标准化建设项目，其中包括室外景观提审工程、1-3层文化墙打造工程、荣誉室打造、军疗中心附属餐厅及附属餐厅室外管网工程、军疗中心室外消防管道工程及围墙改造工程。并完善好军疗中心楼内配套设施配件，进一步加强退役军人事务系统标准化建设，切实提高退役军人服务保障能力，尽快推进州光荣院伤残军人康复疗养中心投入运行。提升伤残军人老有所养，老有所乐的供养条件，打造集养老、休闲、健身、集会为一体的公园式宜居环境。</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（3）本年度重点项目支出1424.44万元，重点支出保障率66.78%。其中重点保障项目是军休人员补助专项经费。</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（4）本年度我单位全年政府采购预算166.82万元,实际用于政府采购金额166.82万元，采购执行率100.00 %。</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2、整体支出评价使用方法和主要内容、涉及对象及范围等</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（1）整体支出评价使用方法</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本次部门（单位）整体支出绩效自评采用因素分析法评价方法，原因是：按照中央及自治区关于专项资金项目实施方案的要求，明确项目实施目标、项目内容、具体措施、资金安排、项目执行时间和项目督导和评估，指定项目进度时间表，抓紧时间落实项目资金。</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（2）整体支出评价主要内容</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①绩效目标的设定情况。重点评价绩效目标设立的充分性、明确性、合理性以及细化程度。</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②资金投入和使用情况。重点评价资金分配过程、投入方式、资金到位、预算执行和结果。</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③为实现绩效目标制定的制度、采取的措施等。包括项目管理制度、财务管理制度、资产管理制度和绩效跟踪管理措施等。</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④绩效目标的实现程度和效果。绩效目标的实现程度包括产出数量、产出质量、产出时效和产出成本。效果包括经济效益、社会效益、生态效益、可持续影响以及服务对象满意度等。</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（3）整体支出评价涉及对象及范围</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涉及对象：本次评价对象是伊犁哈萨克自治州退役军人事务局所有财政资金支出活动。</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整体支出评价范围：</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①基本支出606.90万元，其中工资福利支出541.01万元：机关事业单位基本养老保险缴费支出37.69万元；机关事业单位职业年金缴费支出6.10万元；行政运行308.97万元；行政单位医疗15.15万元；公务员医疗补助0.52万元；其他行政事业单位医疗支出0.38万元；住房公积金39.85万元；优抚事业单位支出122.56万元；事业单位医疗9.79万元。商品和服务支出56.95万元：行政运行41.64万元；优抚事业单位支出15.31万元。对个人和家庭的补助支出8.97万元：行政单位离退休0.61万元，事业单位离退休1.79万元，行政运行2.78万元，死亡抚恤0.71万元，优抚事业单位支出3.08万元。</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②项目支出 2133.16万元：双拥慰问项目，自主择业军转干部医疗保障项目，企业军转干部生活困难补助资金专项经费项目，自主择业军队转业干部专项补助项目，退役安置补助资金项目，军供站专项业务经费项目，光荣院院民生活费项目，康复中心餐厅配套项目，伤残军人康复中心标准化建设项目。</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cr/>
      </w:r>
      <w:bookmarkStart w:id="0" w:name="_Hlk43849111"/>
      <w:bookmarkEnd w:id="0"/>
    </w:p>
    <w:p w14:paraId="1FB1F5AB">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部门单位整体支出管理及使用情况</w:t>
      </w:r>
    </w:p>
    <w:p w14:paraId="0E9CCC6D">
      <w:pPr>
        <w:spacing w:line="600" w:lineRule="exact"/>
        <w:ind w:firstLine="800" w:firstLineChars="250"/>
        <w:jc w:val="left"/>
        <w:rPr>
          <w:rFonts w:ascii="仿宋_GB2312" w:hAnsi="宋体" w:eastAsia="仿宋_GB2312"/>
          <w:b/>
          <w:sz w:val="32"/>
          <w:szCs w:val="32"/>
        </w:rPr>
      </w:pPr>
      <w:r>
        <w:rPr>
          <w:rFonts w:hint="eastAsia" w:ascii="黑体" w:hAnsi="黑体" w:eastAsia="黑体" w:cs="宋体"/>
          <w:bCs/>
          <w:color w:val="333333"/>
          <w:sz w:val="32"/>
          <w:szCs w:val="32"/>
          <w:lang w:bidi="ar"/>
        </w:rPr>
        <w:t xml:space="preserve"> </w:t>
      </w:r>
      <w:r>
        <w:rPr>
          <w:rFonts w:ascii="黑体" w:hAnsi="黑体" w:eastAsia="黑体" w:cs="宋体"/>
          <w:bCs/>
          <w:color w:val="333333"/>
          <w:sz w:val="32"/>
          <w:szCs w:val="32"/>
          <w:lang w:bidi="ar"/>
        </w:rPr>
        <w:t xml:space="preserve">  </w:t>
      </w:r>
      <w:r>
        <w:rPr>
          <w:rFonts w:hint="eastAsia" w:ascii="仿宋_GB2312" w:hAnsi="宋体" w:eastAsia="仿宋_GB2312"/>
          <w:b/>
          <w:sz w:val="32"/>
          <w:szCs w:val="32"/>
        </w:rPr>
        <w:t>（一）预算管理</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1、预算编制管理</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我单位严格按照财政部门预算编制与预算调整的工作要求，在预算编制、分配依据充分的条件下，切实做好“先定目标再编预算”，确保预算分配结果合理。同时按照伊犁州财政局要求，部门预算及绩效目标在伊犁塞外江南网公开，广泛接受社会监督。</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2、预算支出管理</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我部门（单位）按照财政要求基本支出分月度申报资金使用计划，由财政部门按照进度每月按期拨付，人员支出按照工资计划发放工资；依照伊犁哈萨克自治州退役军人事务局《专项资金管理办法》相关规定和规定流程，资金支出按照我内控体系中设定的流程申报审批进行；项目支出属于政府采购的，按照局财政局《政府采购与招标管理办法》组织人员制定采购计划，按照财政局采购部门批复，进行公开招标、邀请招标等方式进行；属于非政府采购的项目，按照“三重一大”制度规定，重大项目支出上党组会研究决定。</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（二）基本支出管理及使用情况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基本支出预算安排609.07万元，实际到位606.93万元,实际支出606.93万元，占总支出的22.15％，其中：工资福利支出541.01万元、商品和服务支出56.95万元、对个人和家庭的补助8.97万元、主要用于统筹外离退休费及离退休人员采暖补贴、抚恤金、奖励金。</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2021年基本支出比上年566.81万元,增加42.26万元，上升 7.46%，支出上升的主要原因是2021年调入人员、政策性调高工资标准。</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2021年一般公共预算“三公”经费数为6.90万元，其中：因公出国（境）费0.00万元，公务用车购置0.00万元，公务用车运行费6.90万元，公务接待费0.00万元。</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一般公共预算“三公”经费比上年增加（减少）0.00万元，其中：因公出国（境）费增加（减少）0.00万元，主要原因是本年度与上年度均未安排此项支出；公务用车购置费为0.00万元，未安排预算。；公务用车运行费增加（减少）0.00万元，主要原因是本年度与上年度均未安排此项支出；公务接待费增加（减少）0.00万元，主要原因是本年度与上年度均未安排此项支出。</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（三）专项支出管理及使用情况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1、专项资金安排落实、总投入等情况分析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2021年预算安排专项资金2133.16万元，实际到位2133.16万元, 到位率100.00％,其中:中央转移支付项目资金778.98万元，自治区资金133.61万元，本级安排1220.57万元。</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2、专项资金实际使用情况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2021年专项资金支出2133.16万元，占总支出的77.85%，其中2021年专项项目支出比上年3345.91万元减少1212.75万元，下降    36.25%。支出减少的主要原因是项目减少。其中：2020年军供站回购承租权专项经费专项支出289.51万元，2021年未安排此项目。2020年优抚对象补助专项经费专项支出 109.14万元，2021年未安排此项目。2020年退役士兵社会保险接续补助专项支出902.8万元，2021年支出127.6万元。</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3、专项资金管理情况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为规范专项资金使用，提高专项资金使用效益，我单位主要采取四项措施。</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一是制订专项资金管理制度；二是各专项资金建立了专帐；三是制订了项目实施方案；四是认真组织项目验收。切实确保专项资金都做到了专款专用。其中：</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制定了《双拥慰问》，《优抚对象补助》，《退役士兵社会保险接续》，《军队离退休人员补助》专项资金管理办法，各项资金使用审批流程均按规定办理。涉及“三重一大”内容，严格按照规定提请局党组会审议决定，包括项目资金分配、重大项目确定、大额资金支付等。</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（2）建立双拥慰问、优抚对象补助、退役士兵社会保险接续、军队离退休人员补助专项资金专帐，做到有据可依，有据可查。</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（3）制订了双拥慰问、优抚对象补助、退役士兵社会保险接续、军队离退休人员补助项目实施方案，确保项目规范顺利实施。</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（4）认真组织双拥慰问、优抚对象补助、退役士兵社会保险接续、军队离退休人员补助项目验收，确保提供项目补助资金的使用效益，提升项目服务水平。</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专项资金涉及政府采购项目的，按照财政局《政府采购与招标管理办法》组织人员制定采购计划，按照财政局采购部门批复，进行公开招标方式进行。</w:t>
      </w:r>
    </w:p>
    <w:p w14:paraId="37DCA4AD">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部门单位专项组织实施情况</w:t>
      </w:r>
    </w:p>
    <w:p w14:paraId="745ED414">
      <w:pPr>
        <w:spacing w:line="600" w:lineRule="exact"/>
        <w:ind w:firstLine="800" w:firstLineChars="250"/>
        <w:jc w:val="left"/>
        <w:rPr>
          <w:rFonts w:ascii="仿宋_GB2312" w:hAnsi="宋体" w:eastAsia="仿宋_GB2312"/>
          <w:b/>
          <w:sz w:val="32"/>
          <w:szCs w:val="32"/>
        </w:rPr>
      </w:pPr>
      <w:r>
        <w:rPr>
          <w:rFonts w:hint="eastAsia" w:ascii="黑体" w:hAnsi="黑体" w:eastAsia="黑体" w:cs="宋体"/>
          <w:bCs/>
          <w:color w:val="333333"/>
          <w:sz w:val="32"/>
          <w:szCs w:val="32"/>
          <w:lang w:bidi="ar"/>
        </w:rPr>
        <w:t xml:space="preserve"> </w:t>
      </w:r>
      <w:r>
        <w:rPr>
          <w:rFonts w:ascii="黑体" w:hAnsi="黑体" w:eastAsia="黑体" w:cs="宋体"/>
          <w:bCs/>
          <w:color w:val="333333"/>
          <w:sz w:val="32"/>
          <w:szCs w:val="32"/>
          <w:lang w:bidi="ar"/>
        </w:rPr>
        <w:t xml:space="preserve">  </w:t>
      </w:r>
      <w:r>
        <w:rPr>
          <w:rFonts w:hint="eastAsia" w:ascii="仿宋_GB2312" w:hAnsi="宋体" w:eastAsia="仿宋_GB2312"/>
          <w:b/>
          <w:sz w:val="32"/>
          <w:szCs w:val="32"/>
        </w:rPr>
        <w:t>(一)</w:t>
      </w:r>
      <w:r>
        <w:rPr>
          <w:rFonts w:hint="eastAsia" w:ascii="仿宋_GB2312" w:hAnsi="宋体" w:eastAsia="仿宋_GB2312"/>
          <w:b/>
          <w:sz w:val="32"/>
          <w:szCs w:val="32"/>
        </w:rPr>
        <w:tab/>
        <w:t>专项组织情况分析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1、前期准备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年初我单位下发的2021年专项工作计划，对项目的工作分工、任务分配、资金落实、完成时限等提出了明确、具体的要求，以确保项目保质、保量、按时完成。详细如下：收集部门成立背景资料、部门战略目标、中长期工作规划、部门职责、组织构成及其职能、预算编制等资料，并组织绩效评价自评小组对部门相关文件进行研读，梳理并确认工作任务及要求、部门内部管理制度及存量资源。梳理2021年专项资金使用情况和专项项目实施规模，根据各专项实际存档资料，就专项工作计划与部门职能和规划内容、与科室和项目之间的对应关系、重点工作安排与重点项目安排情况等，与相关科室的管理人员进行了沟通和交流，深入了解本部门涉及专项资金的使用情况和项目完成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2、组织实施</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我单位通过文件研读和前期调研等方式，收集、整理、总结部门的职能定位、中长期规划、年度工作计划以及专项项目实施情况。对于专项资金项目下达的绩效目标表，按照下达绩效目标，立足实际完成情况，开展专项项目绩效自评。对于未下达绩效目标表的项目，由我部门自行设定并经财政审核备案后，实施专项项目绩效自评。自评内容主要包括以下两个方面：</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一是对专项项目预算执行情况进行分析，再考察专项项目产出、项目目标的实现程度和管理有效性，从而总结项目取得的业绩和经验，发现项目存在的不足之处。</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二是对财政资金使用合规性进行评价，主要评价：①专项资金是否存在截留、挪用，支付审批是否合规、是否存在用途改变、范围超支和虚列项目支出等情况；②项目实施是否符合专项管理办法，流程和管理制度是否合规；③项目完成情况的真实性和绩效目标完成情况分析。通过评价发现财政资金使用中存在的合规性问题，总结财务内控中存在的不足之处。</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截止12月25日，该专项均按照时间计划保质、保量完成。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(二)</w:t>
      </w:r>
      <w:r>
        <w:rPr>
          <w:rFonts w:hint="eastAsia" w:ascii="仿宋_GB2312" w:hAnsi="宋体" w:eastAsia="仿宋_GB2312"/>
          <w:b/>
          <w:sz w:val="32"/>
          <w:szCs w:val="32"/>
        </w:rPr>
        <w:tab/>
        <w:t>专项管理情况分析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1、资金到位及使用情况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2021年涉及专项资金3183.20万元，实际到位 2133.16 万元，资金到位率67.01%。截止到2021年12月25日执行2133.16万元，执行率67.01%。其中：2021年结转专项资金1049.41万元，实际执行1049.41万元，执行率为100.00%；2021年新增专项资金2133.79万元，实际执行2133.79万元，执行率为100.00%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2、资金管理情况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我单位严格执行《专项资金管理办法》文件精神要求，加强对专项资金的绩效管理，确保专款专用，提高专项资金使用效益。遵守相关法律法规，严肃财经纪律，自觉接受财政、审计、监察监督检查。</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(三)</w:t>
      </w:r>
      <w:r>
        <w:rPr>
          <w:rFonts w:hint="eastAsia" w:ascii="仿宋_GB2312" w:hAnsi="宋体" w:eastAsia="仿宋_GB2312"/>
          <w:b/>
          <w:sz w:val="32"/>
          <w:szCs w:val="32"/>
        </w:rPr>
        <w:tab/>
        <w:t>项目实施情况分析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1、组织情况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伊犁哈萨克自治州退役军人事务局，根据2021年9个项目的绩效目标及工作内容，将其细化分工至本单位5个负责人，加强组织领导，明确分工，各司其职，抓好工作目标任务的落实完成，同时年中要求各负责人按照年初预算对本科室绩效工作进行自查自评，并报上半年工作情况总结，5月和8月对工作情况进行跟踪检查，确保绩效目标如期实现，不断提高财政资金配置和使用效益。</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2、管理情况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伊犁哈萨克自治州退役军人事务局，实施的9个项目，由相关业务处室指派专人进行全过程跟踪管理，处室负责人统筹推进项目实施，单位领导不定期对项目进度进行调度，并对项目质量进行控制。</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3、监管情况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综合处从项目实施方案、项目预算、项目建设进度、项目成本、项目验收等环节，全过程对项目进行监管，并向本单位主要领导报告，以推进项目建设和提高项目质量，以发挥资金使用效益。</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(四)</w:t>
      </w:r>
      <w:r>
        <w:rPr>
          <w:rFonts w:hint="eastAsia" w:ascii="仿宋_GB2312" w:hAnsi="宋体" w:eastAsia="仿宋_GB2312"/>
          <w:b/>
          <w:sz w:val="32"/>
          <w:szCs w:val="32"/>
        </w:rPr>
        <w:tab/>
        <w:t>绩效情况分析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1、成本控制情况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伊犁哈萨克自治州退役军人事务局，所涉及专项项目均已于专项资金下达后按照资金文件及绩效管理要求设置《项目绩效目标表》。9个专项项目预算总额为3183.2万元，在项目实施过程中，业务人员加强项目管理，合理控制项目成本，截止项目结束，9个项目总成本为2133.16万元，不存在超支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2、成本节约情况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伊犁哈萨克自治州退役军人事务局，所涉及专项项目使用资金与专项项目总预算资金减少0.00万元，项目节约率为0.00%。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(五)</w:t>
      </w:r>
      <w:r>
        <w:rPr>
          <w:rFonts w:hint="eastAsia" w:ascii="仿宋_GB2312" w:hAnsi="宋体" w:eastAsia="仿宋_GB2312"/>
          <w:b/>
          <w:sz w:val="32"/>
          <w:szCs w:val="32"/>
        </w:rPr>
        <w:tab/>
        <w:t>项目效率性分析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1、实施进度</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2021年伊犁哈萨克自治州退役军人事务局共涉及专项项目9个，截止到2021年底，通过专项项目实施过程中的有效监督，我单位按预期完成了9个专项的各项专项任务，项目总体完成率为101.05%。</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2、完成质量</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9个专项项目完成质量情况如下：</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①双拥慰问项目安排232.00万元，实际安排232.00万元，完成率100.23%；</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②自主择业军转干部医疗保障项目安排425.34万元，实际安排425.34万元，完成率100.85%；</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③企业军转干部生活困难补助资金专项经费项目安排126.00万元，实际安排76.40万元，完成率94.38%；</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④自主择业军队转业干部专项补助项目安排57.21万元，实际安排57.21万元，完成率100.00%；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⑤退役安置补助资金项目安排1323.8万元，实际安排778.98万元，完成率100.00%；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⑥军供站专项业务经费项目安排90万元，实际安排90万元，完成率110.42%；</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⑦光荣院院民生活费项目安排64.22万元，实际安排63.59万元，完成率103.17%；</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⑧康复中心餐厅配套项目安排72.79万元，实际安排72.79万元，完成率100.48%；</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⑨伤残军人康复中心标准化建设项目安排340.02万元，实际安排336.84万元，完成率99.95%；</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(六)</w:t>
      </w:r>
      <w:r>
        <w:rPr>
          <w:rFonts w:hint="eastAsia" w:ascii="仿宋_GB2312" w:hAnsi="宋体" w:eastAsia="仿宋_GB2312"/>
          <w:b/>
          <w:sz w:val="32"/>
          <w:szCs w:val="32"/>
        </w:rPr>
        <w:tab/>
        <w:t>项目效益性分析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9个专项项目预期目标完成程度、实施对经济和社会的影响如下：</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1、双拥慰问项目安排232万元，实际安排232.00万元，完成率100.23%。主要用于完成慰问部队26家，慰问特警部队2家，慰问涉军服务单位4家，慰问老红军、烈军属、残疾军人30人；</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自主择业军转干部医疗保障项目安排425.34万元，实际安排425.34万元，完成率100.85%。主要用于完成为230名自主择业军转干部的2021年医疗保障，发放冬季取暖费进一步巩固和发展军政军民团结，维护我州社会稳定及全区长治久安，推动我州经济建设健康发展</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企业军转干部生活困难补助资金专项经费项目安排126万元，实际安排76.40万元，完成率94.38%。主要用于完成保障生活困难企业军转干部基本生活，认真解决部分企业军转干部养老问题，落实部分困难企业军转干部基本医疗保障待遇；积极为失业下岗企业军转干部提供就业帮助和服务。</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 xml:space="preserve">   4、自主择业军队转业干部专项补助项目安排57.21万元，实际安排57.21万元，完成率100%。主要用于完成保障自主择业军转干部离队报到、档案结转、年度身份认证、组织生活等日常管理服务工作开展；做好自主择业军转干部就业招聘、就业创业典型宣传、创业服务；做好自主择业军转干部重大节日走访慰问、个案帮扶工作。</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 xml:space="preserve">  5、退役安置补助资金项目安排1323.8万元，实际安排778.98万元，完成率100.00%。主要用于完成提高1984年以来接收军队离退休干部及其家属、遗属医疗、生活保障待遇，维护服务管理机构正常运转，退役士兵社会保险接续补助,主要用于完成为部分退役士兵补缴基本养老保险，解决部分退役士兵未参保和断缴问题，保障退役士兵享受相应的养老保险待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 xml:space="preserve">   6、军供站专项业务经费项目安排90.00万元，实际安排90.00万元，完成率110.42%。主要用于完成军供保障队伍演练任务，有效提升军供队伍保障效能，确保边疆社会长治久安。</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 xml:space="preserve">   7、光荣院院民生活费项目安排63.59万元，实际安排63.59万元，完成率103.17%。主要用于完成我院集中供养老人在院生活补助开支514800元、医疗补助开支114122.31元、采暖补助开支7020元的支付，为我院集中供养人员保障了他们饮食起居。在饮食上，荤素搭配，营养均衡；在生活上，打饭、洗衣、理发、剪指甲等，面面俱到，确保老人们的生活安全有保障；在医疗上，与解放军946医院建立绿色通道，让他们小病不担心，大病有保障，并为他们购买所需药品。使老人们在我院老有所依、病有所医，让他们有荣誉感、归属感。</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8、康复中心餐厅配套项目安排72.79万元，实际安排72.79万元，完成率1100.48%。主要用于完成根据伊宁市总体规划，食堂拟建于伊犁州光荣院内东边围墙处，计划建筑总面积1944㎡，地上三层框架结构，可同时容纳400人就餐，切实保障好退役军人的集中休养生活。军疗中心附属餐厅工程项目于2020年12月竣工验收，该项目用于支付支付军疗中心附属餐厅工程尾款66.68万元，餐厅工程咨询费2.79万元，餐厅工程监理费3.32万元，确保该项目正常运转。</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9、伤残军人康复中心标准化建设项目安排340.02万元，实际安排336.84万元，完成率99.95%。主要用于完成做好军疗中心标准化建设项目，其中包括室外景观提审工程、1-3层文化墙打造工程、荣誉室打造、军疗中心附属餐厅及附属餐厅室外管网工程、军疗中心室外消防管道工程</w:t>
      </w:r>
      <w:bookmarkStart w:id="1" w:name="_GoBack"/>
      <w:bookmarkEnd w:id="1"/>
      <w:r>
        <w:rPr>
          <w:rFonts w:hint="eastAsia" w:ascii="仿宋_GB2312" w:hAnsi="宋体" w:eastAsia="仿宋_GB2312"/>
          <w:b/>
          <w:sz w:val="32"/>
          <w:szCs w:val="32"/>
        </w:rPr>
        <w:t>及围墙改造工程。并完善好军疗中心楼内配套设施配件，进一步加强退役军人事务系统标准化建设，切实提高退役军人服务保障能力，尽快推进州光荣院伤残军人康复疗养中心投入运行。提升伤残军人老有所养，老有所乐的供养条件，打造集养老、休闲、健身、集会为一体的公园式宜居环境。</w:t>
      </w:r>
    </w:p>
    <w:p w14:paraId="12A3AD8D">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资产管理情况</w:t>
      </w:r>
    </w:p>
    <w:p w14:paraId="0A4F0C23">
      <w:pPr>
        <w:spacing w:line="600" w:lineRule="exact"/>
        <w:ind w:left="648" w:firstLine="643" w:firstLineChars="200"/>
        <w:jc w:val="left"/>
        <w:rPr>
          <w:rFonts w:ascii="仿宋_GB2312" w:hAnsi="宋体" w:eastAsia="仿宋_GB2312"/>
          <w:b/>
          <w:sz w:val="32"/>
          <w:szCs w:val="32"/>
        </w:rPr>
      </w:pPr>
      <w:r>
        <w:rPr>
          <w:rFonts w:hint="eastAsia" w:ascii="仿宋_GB2312" w:hAnsi="宋体" w:eastAsia="仿宋_GB2312"/>
          <w:b/>
          <w:sz w:val="32"/>
          <w:szCs w:val="32"/>
        </w:rPr>
        <w:t>（一）资产配置情况</w:t>
      </w:r>
      <w:r>
        <w:rPr>
          <w:rFonts w:hint="eastAsia" w:ascii="仿宋_GB2312" w:hAnsi="宋体" w:eastAsia="仿宋_GB2312"/>
          <w:b/>
          <w:sz w:val="32"/>
          <w:szCs w:val="32"/>
        </w:rPr>
        <w:br w:type="textWrapping"/>
      </w:r>
      <w:r>
        <w:rPr>
          <w:rFonts w:hint="eastAsia" w:ascii="仿宋_GB2312" w:hAnsi="宋体" w:eastAsia="仿宋_GB2312"/>
          <w:b/>
          <w:sz w:val="32"/>
          <w:szCs w:val="32"/>
        </w:rPr>
        <w:t>2021年我单位资产总额4035.11万元，其中流动资产1020.91万元，固定资产净值3014.2万元（其中：土地、房屋及构筑物1312.00万元，占固定资产净值的68.61%；通用设备141.59万元，占固定资产净值的7.40%；专用设备254.63万元，占固定资产净值的13.32%；其他1305.98万元）。</w:t>
      </w:r>
      <w:r>
        <w:rPr>
          <w:rFonts w:hint="eastAsia" w:ascii="仿宋_GB2312" w:hAnsi="宋体" w:eastAsia="仿宋_GB2312"/>
          <w:b/>
          <w:sz w:val="32"/>
          <w:szCs w:val="32"/>
        </w:rPr>
        <w:br w:type="textWrapping"/>
      </w:r>
      <w:r>
        <w:rPr>
          <w:rFonts w:hint="eastAsia" w:ascii="仿宋_GB2312" w:hAnsi="宋体" w:eastAsia="仿宋_GB2312"/>
          <w:b/>
          <w:sz w:val="32"/>
          <w:szCs w:val="32"/>
        </w:rPr>
        <w:t>本年度流动资产1020.91万元，比上年1171.84万元减少150.90万元，原因是：其他应收款减少。</w:t>
      </w:r>
      <w:r>
        <w:rPr>
          <w:rFonts w:hint="eastAsia" w:ascii="仿宋_GB2312" w:hAnsi="宋体" w:eastAsia="仿宋_GB2312"/>
          <w:b/>
          <w:sz w:val="32"/>
          <w:szCs w:val="32"/>
        </w:rPr>
        <w:br w:type="textWrapping"/>
      </w:r>
      <w:r>
        <w:rPr>
          <w:rFonts w:hint="eastAsia" w:ascii="仿宋_GB2312" w:hAnsi="宋体" w:eastAsia="仿宋_GB2312"/>
          <w:b/>
          <w:sz w:val="32"/>
          <w:szCs w:val="32"/>
        </w:rPr>
        <w:t>本年度固定资产3014.20万元，比上年2969.15万元增加45.05   万元，原因是：增加固定资产 。</w:t>
      </w:r>
      <w:r>
        <w:rPr>
          <w:rFonts w:hint="eastAsia" w:ascii="仿宋_GB2312" w:hAnsi="宋体" w:eastAsia="仿宋_GB2312"/>
          <w:b/>
          <w:sz w:val="32"/>
          <w:szCs w:val="32"/>
        </w:rPr>
        <w:br w:type="textWrapping"/>
      </w:r>
      <w:r>
        <w:rPr>
          <w:rFonts w:hint="eastAsia" w:ascii="仿宋_GB2312" w:hAnsi="宋体" w:eastAsia="仿宋_GB2312"/>
          <w:b/>
          <w:sz w:val="32"/>
          <w:szCs w:val="32"/>
        </w:rPr>
        <w:t>实际在用固定资产3014.20万元，固定资产利用率100.00%。</w:t>
      </w:r>
      <w:r>
        <w:rPr>
          <w:rFonts w:hint="eastAsia" w:ascii="仿宋_GB2312" w:hAnsi="宋体" w:eastAsia="仿宋_GB2312"/>
          <w:b/>
          <w:sz w:val="32"/>
          <w:szCs w:val="32"/>
        </w:rPr>
        <w:br w:type="textWrapping"/>
      </w:r>
      <w:r>
        <w:rPr>
          <w:rFonts w:hint="eastAsia" w:ascii="仿宋_GB2312" w:hAnsi="宋体" w:eastAsia="仿宋_GB2312"/>
          <w:b/>
          <w:sz w:val="32"/>
          <w:szCs w:val="32"/>
        </w:rPr>
        <w:t>（二）资产管理情况</w:t>
      </w:r>
      <w:r>
        <w:rPr>
          <w:rFonts w:hint="eastAsia" w:ascii="仿宋_GB2312" w:hAnsi="宋体" w:eastAsia="仿宋_GB2312"/>
          <w:b/>
          <w:sz w:val="32"/>
          <w:szCs w:val="32"/>
        </w:rPr>
        <w:br w:type="textWrapping"/>
      </w:r>
      <w:r>
        <w:rPr>
          <w:rFonts w:hint="eastAsia" w:ascii="仿宋_GB2312" w:hAnsi="宋体" w:eastAsia="仿宋_GB2312"/>
          <w:b/>
          <w:sz w:val="32"/>
          <w:szCs w:val="32"/>
        </w:rPr>
        <w:t>1、固定资产按照“谁使用、谁负责”的原则，一年一次盘点，使用人在登记卡上签字确认。固定资产严格按照内部控制规范、《资产管理办法》、《政府采购管理办法》进行配置和处置。严格按照财务管理的相关要求，制定了《固定资产管理办法》、《货币资金管理制度》和《政府采购管理办法》等固定资产和办公用品使用、审批、稽核的内部管理规范。</w:t>
      </w:r>
      <w:r>
        <w:rPr>
          <w:rFonts w:hint="eastAsia" w:ascii="仿宋_GB2312" w:hAnsi="宋体" w:eastAsia="仿宋_GB2312"/>
          <w:b/>
          <w:sz w:val="32"/>
          <w:szCs w:val="32"/>
        </w:rPr>
        <w:br w:type="textWrapping"/>
      </w:r>
      <w:r>
        <w:rPr>
          <w:rFonts w:hint="eastAsia" w:ascii="仿宋_GB2312" w:hAnsi="宋体" w:eastAsia="仿宋_GB2312"/>
          <w:b/>
          <w:sz w:val="32"/>
          <w:szCs w:val="32"/>
        </w:rPr>
        <w:t>2、流动资产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14:paraId="0B4A597E">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部门单位整体支出绩效情况</w:t>
      </w:r>
    </w:p>
    <w:p w14:paraId="346EF8A1">
      <w:pPr>
        <w:spacing w:line="600" w:lineRule="exact"/>
        <w:ind w:firstLine="1120" w:firstLineChars="350"/>
        <w:jc w:val="left"/>
        <w:rPr>
          <w:rFonts w:ascii="仿宋_GB2312" w:hAnsi="宋体" w:eastAsia="仿宋_GB2312"/>
          <w:b/>
          <w:sz w:val="32"/>
          <w:szCs w:val="32"/>
        </w:rPr>
      </w:pPr>
      <w:r>
        <w:rPr>
          <w:rFonts w:hint="eastAsia" w:ascii="黑体" w:hAnsi="黑体" w:eastAsia="黑体" w:cs="宋体"/>
          <w:bCs/>
          <w:color w:val="333333"/>
          <w:sz w:val="32"/>
          <w:szCs w:val="32"/>
          <w:lang w:bidi="ar"/>
        </w:rPr>
        <w:t xml:space="preserve"> </w:t>
      </w:r>
      <w:r>
        <w:rPr>
          <w:rFonts w:hint="eastAsia" w:ascii="仿宋_GB2312" w:hAnsi="宋体" w:eastAsia="仿宋_GB2312"/>
          <w:b/>
          <w:sz w:val="32"/>
          <w:szCs w:val="32"/>
        </w:rPr>
        <w:t>（一）经济效益评价</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2021年度我单位年初预算安排1255.94万元，年中调整2536.33万元，截止12月底支出2740.09万元，执行率72.25%。</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1、预算资金执行过程中均按照年初预算分配情况均做到专款专用，未出现资金侵、挪占情况。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2、全年按照部门预算进行成本控制，全部控制在厉行节约指标数内。其他支出按财政部门下达的计划实施，全年没有项目超支。</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（二）效率性评价</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2021年，在伊犁州财政局的大力支持和伊犁州党委的正确领导下，我单位迎难而上、务实重干，积极推动各项业务工作取得了新的进展，为促进经济持续健康发展与社会和谐稳定提供了有力的支撑和保障。</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一）服务保障水平明显提升。着力提升为重点优抚对象和孤老退役军人服务的功能和水平，稳步实施荣誉军人休养院、伤残军人康复疗养中心附属餐厅及光荣院景观提升项目，有力改善了集中供养优抚对象生活、医疗和文化娱乐环境。坚持“老有所养、老有所乐”原则，满腔热忱为军休干部服务，成功搭建“云支部”军休工作平台，充分发挥军休党支部战斗堡垒作用，落实常态化联系制度，精细化服务109名军休干部和15名军休干部遗属，增强了服务保障的针对性和有效性。及时关注军休干部思想政治工作、精神文化生活和身体健康情况，按时开展健康讲座，定期实施健康体检，组织军休干部走乡村、进基层，传递红色基因，丰富了军休干部精神文化生活。</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二）“三个体系”建设不断强化。完善组织管理体系，规范612个“两级中心两级站”建设，设立法律援助工作站（室）和退役军人事务人民调解委员会（室），成功打造国家级精品站5个、自治区级标杆站10个、州级示范站47个。优化工作运行体系，着力健全权责清晰、督查有力的工作落实机制，调整优化党建、党风廉政建设和反腐败、国家安全、信访维稳等多个领导小组，加强统筹领导，明确职能作用，规范部署实施。健全政策制度体系，制定《基层退役军人服务中心（站）工作指南》《基层退役军人服务中心（站）服务规范》，以“法律政策落实年”活动为契机，投入4.3万元印制手册、挂图和折页等宣传材料63700份，广泛学习宣传贯彻《退役军人保障法》《军队离休退休干部服务管理办法》《退役军人、其他优抚对象优待证管理办法（试行）》，打通政策落实“最后一公里”。</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三）系统援疆工作稳健起步。深入贯彻落实第三次中央新疆工作座谈会、第七次全国对口支援新疆工作会议及全国退役军人事务系统援疆工作会议精神，主动对接援伊省市，积极争取援助，尼勒克县取得650万元援疆资金提升改造乔尔玛烈士陵园，霍尔果斯市、新源县、巩留县等县市与对口支援市（区）退役军人事务局在项目、人才、培训等方面进行了深入对接，学习了对口支援市（区）先进工作理念和典型经验做法，实现良好开局、取得积极成效。</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（三）有效性评价</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部门支出的有效性主要体现在我单位各项工作成效上，一是各项财政管理制度进一步夯实，二是财务人员业务能力进一步提升，三是各科室对绩效评价态度进一步改善，四是人员工作效率进一步提高，五是绩效目标的有效性进一步推进，七是负责绩效评价小组人员水平进一步增强，详细情况如下：</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伊犁哈萨克自治州退役军人事务局单位整体绩效目标共设置一级指标  3  个，二级指标8个，三级指标25 个，详细说明如下</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1、数量指标：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指标1：优抚对象入住人数，指标值：≥39人 ，实际完成值： 39人  ，指标完成率100.00%；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指标2： 自主择业军转干部享受医疗待遇人数 ，指标值：≥231人，实际完成值： 230人，指标完成率99.57%；</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指标3：保障在职人员人数，指标值：≥40人，实际完成值：42人，指标完成率105.00%；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指标4：慰问部队数量 ，指标值：≥26家，实际完成值：26家 ，指标完成率100.00%；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2、质量指标：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指标1：自主择业军转干部参保率，指标值：≥95%，实际完成值：100%，指标完成率104.81%；</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指标2：慰问部队覆盖率 ，指标值：≥95%，实际完成值：100%，指标完成率105.26%；</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指标3：工资及公用经费保障率 ，指标值：≥95%，实际完成值：100%，指标完成率105.26%；</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指标4：优抚对象抚恤和生活补助足额兑现率，指标值：=100%  ，实际完成值：100%，指标完成率100.00%；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3、时效指标：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指标1：优抚对象抚恤和生活补助发放及时率 ，指标值：≥90%，实际完成值：100%，指标完成率111.11%；</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指标2：自主择业军转干部按时参保率，指标值：≥98%，实际完成值：99.57%，指标完成率104.81%；</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指标3：慰问部队、烈军属、老红军及时率 ，指标值：≥98%，实际完成值：100%，指标完成率102.04%；</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指标4：资金发放及时性，指标值：≥98%，实际完成值：102.04%，指标完成率102.04%；</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4、成本指标：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指标1：院民人均生活费 ，指标值：≤ 1.53万元 ，实际完成值：1.32万元，指标完成率86.27%；</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指标2：人均运转经费数 ，指标值：≤ 1.65万元 ，实际完成值：1.36万元，指标完成率82.42%；</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指标3：自主择业干部管理人均经费 ，指标值：=300元/人，实际完成值：300元/人，指标完成率100.00%；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指标4：人均支出标准，指标值：≤ 11.83万元，实际完成值：10.68万元，指标完成率90.29%；</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5、社会效益指标：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指标1：保障军队建设需要，指标值：有效保障 ，实际完成值：有效保障，指标完成率100.00%；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指标2：不断提升军转干部人员服务水平，指标值：有效提升 ，实际完成值：有效提升 ，指标完成率100.00%；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指标3：保障本单位工作正常运转，指标值：有效保障 ，实际完成值：有效保障，指标完成率100.00%；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指标4：提高本单位服务保障能力，指标值：有效提高，实际完成值：有效提高，指标完成率100.00%；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6、可持续影响指标：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指标1：保障军队建设需要，促进社会和谐稳定，指标值：效果显著，实际完成值：效果显著，指标完成率100.00%；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指标2：推进伊犁州荣军服务事业发展，指标值：持续推进，实际完成值：持续推进，指标完成率100.00%；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9、满意度指标：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指标1：优抚对象满意度，指标值：≥90%，实际完成值：100%，指标完成率111.11%；</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指标2：干部职工满意度，指标值：≥90%，实际完成值：100%，指标完成率111.11%；</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指标3：军转干部满意度，指标值：≥90%，实际完成值：100%，指标完成率111.11%；</w:t>
      </w:r>
    </w:p>
    <w:p w14:paraId="4D3E30DF">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存在的主要问题</w:t>
      </w:r>
    </w:p>
    <w:p w14:paraId="5912FC22">
      <w:pPr>
        <w:spacing w:line="600" w:lineRule="exact"/>
        <w:ind w:left="648" w:firstLine="643" w:firstLineChars="200"/>
        <w:jc w:val="left"/>
        <w:rPr>
          <w:rFonts w:ascii="仿宋_GB2312" w:hAnsi="宋体" w:eastAsia="仿宋_GB2312"/>
          <w:b/>
          <w:sz w:val="32"/>
          <w:szCs w:val="32"/>
        </w:rPr>
      </w:pPr>
      <w:r>
        <w:rPr>
          <w:rFonts w:hint="eastAsia" w:ascii="仿宋_GB2312" w:hAnsi="宋体" w:eastAsia="仿宋_GB2312"/>
          <w:b/>
          <w:sz w:val="32"/>
          <w:szCs w:val="32"/>
        </w:rPr>
        <w:t>1、未能牢固树立绩效理念，对实施绩效管理的认识还不够。</w:t>
      </w:r>
      <w:r>
        <w:rPr>
          <w:rFonts w:hint="eastAsia" w:ascii="仿宋_GB2312" w:hAnsi="宋体" w:eastAsia="仿宋_GB2312"/>
          <w:b/>
          <w:sz w:val="32"/>
          <w:szCs w:val="32"/>
        </w:rPr>
        <w:br w:type="textWrapping"/>
      </w:r>
      <w:r>
        <w:rPr>
          <w:rFonts w:hint="eastAsia" w:ascii="仿宋_GB2312" w:hAnsi="宋体" w:eastAsia="仿宋_GB2312"/>
          <w:b/>
          <w:sz w:val="32"/>
          <w:szCs w:val="32"/>
        </w:rPr>
        <w:t>2、绩效激励约束作用不强，绩效评价机制尚未完善。</w:t>
      </w:r>
    </w:p>
    <w:p w14:paraId="65E5B227">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改进措施和建议</w:t>
      </w:r>
    </w:p>
    <w:p w14:paraId="490E58CB">
      <w:pPr>
        <w:spacing w:line="600" w:lineRule="exact"/>
        <w:ind w:left="648" w:firstLine="643" w:firstLineChars="200"/>
        <w:jc w:val="left"/>
        <w:rPr>
          <w:rFonts w:ascii="仿宋_GB2312" w:hAnsi="宋体" w:eastAsia="仿宋_GB2312"/>
          <w:b/>
          <w:sz w:val="32"/>
          <w:szCs w:val="32"/>
        </w:rPr>
      </w:pPr>
      <w:r>
        <w:rPr>
          <w:rFonts w:hint="eastAsia" w:ascii="仿宋_GB2312" w:hAnsi="宋体" w:eastAsia="仿宋_GB2312"/>
          <w:b/>
          <w:sz w:val="32"/>
          <w:szCs w:val="32"/>
        </w:rPr>
        <w:t>1、加快建成全方位、全过程、全覆盖的预算绩效管理体系，实现预算和绩效管理一体化，着力提高资源配置效率和使用效益。</w:t>
      </w:r>
      <w:r>
        <w:rPr>
          <w:rFonts w:hint="eastAsia" w:ascii="仿宋_GB2312" w:hAnsi="宋体" w:eastAsia="仿宋_GB2312"/>
          <w:b/>
          <w:sz w:val="32"/>
          <w:szCs w:val="32"/>
        </w:rPr>
        <w:br w:type="textWrapping"/>
      </w:r>
      <w:r>
        <w:rPr>
          <w:rFonts w:hint="eastAsia" w:ascii="仿宋_GB2312" w:hAnsi="宋体" w:eastAsia="仿宋_GB2312"/>
          <w:b/>
          <w:sz w:val="32"/>
          <w:szCs w:val="32"/>
        </w:rPr>
        <w:t>2、推进绩效成本预算管理改革，建立以质量和成本为重要考核内容、以结果导向配置公共资源的管理机制。</w:t>
      </w:r>
      <w:r>
        <w:rPr>
          <w:rFonts w:hint="eastAsia" w:ascii="仿宋_GB2312" w:hAnsi="宋体" w:eastAsia="仿宋_GB2312"/>
          <w:b/>
          <w:sz w:val="32"/>
          <w:szCs w:val="32"/>
        </w:rPr>
        <w:br w:type="textWrapping"/>
      </w:r>
      <w:r>
        <w:rPr>
          <w:rFonts w:hint="eastAsia" w:ascii="仿宋_GB2312" w:hAnsi="宋体" w:eastAsia="仿宋_GB2312"/>
          <w:b/>
          <w:sz w:val="32"/>
          <w:szCs w:val="32"/>
        </w:rPr>
        <w:t xml:space="preserve">    3、实现绩效管理的全面覆盖，优化支出结构，削减无效、低效资金，形成绩效管理的刚性约束，提高财政资金的使用效益。</w:t>
      </w:r>
      <w:r>
        <w:rPr>
          <w:rFonts w:hint="eastAsia" w:ascii="仿宋_GB2312" w:hAnsi="宋体" w:eastAsia="仿宋_GB2312"/>
          <w:b/>
          <w:sz w:val="32"/>
          <w:szCs w:val="32"/>
        </w:rPr>
        <w:br w:type="textWrapping"/>
      </w:r>
      <w:r>
        <w:rPr>
          <w:rFonts w:hint="eastAsia" w:ascii="仿宋_GB2312" w:hAnsi="宋体" w:eastAsia="仿宋_GB2312"/>
          <w:b/>
          <w:sz w:val="32"/>
          <w:szCs w:val="32"/>
        </w:rPr>
        <w:t xml:space="preserve">    4、深化绩效管理与预算管理相结合的管理机制；实现预算执行和政策实施、资金使用和绩效目标与人民满意的多项融合。</w:t>
      </w:r>
      <w:r>
        <w:rPr>
          <w:rFonts w:hint="eastAsia" w:ascii="仿宋_GB2312" w:hAnsi="宋体" w:eastAsia="仿宋_GB2312"/>
          <w:b/>
          <w:sz w:val="32"/>
          <w:szCs w:val="32"/>
        </w:rPr>
        <w:br w:type="textWrapping"/>
      </w:r>
      <w:r>
        <w:rPr>
          <w:rFonts w:hint="eastAsia" w:ascii="仿宋_GB2312" w:hAnsi="宋体" w:eastAsia="仿宋_GB2312"/>
          <w:b/>
          <w:sz w:val="32"/>
          <w:szCs w:val="32"/>
        </w:rPr>
        <w:t>5、加强项目绩效业务知识学习，真正了解项目绩效工作实质，准确填报相关信息，促进相关工作同步进行。</w:t>
      </w:r>
    </w:p>
    <w:p w14:paraId="37F06586">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附表：《部门整体支出绩效目标自评表》</w:t>
      </w:r>
    </w:p>
    <w:p w14:paraId="550E916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 w:val="78F959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uiPriority w:val="99"/>
    <w:rPr>
      <w:sz w:val="18"/>
      <w:szCs w:val="18"/>
    </w:rPr>
  </w:style>
  <w:style w:type="character" w:customStyle="1" w:styleId="7">
    <w:name w:val="页脚 字符"/>
    <w:basedOn w:val="5"/>
    <w:link w:val="2"/>
    <w:uiPriority w:val="99"/>
    <w:rPr>
      <w:sz w:val="18"/>
      <w:szCs w:val="18"/>
    </w:rPr>
  </w:style>
  <w:style w:type="paragraph" w:styleId="8">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35</Pages>
  <Words>12053</Words>
  <Characters>13397</Characters>
  <Lines>2</Lines>
  <Paragraphs>1</Paragraphs>
  <TotalTime>12</TotalTime>
  <ScaleCrop>false</ScaleCrop>
  <LinksUpToDate>false</LinksUpToDate>
  <CharactersWithSpaces>13504</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2020-06-04T05:22:00Z</dcterms:created>
  <dc:creator>hongbing liu</dc:creator>
  <cp:lastModifiedBy>张涛</cp:lastModifiedBy>
  <dcterms:modified xsi:type="dcterms:W3CDTF">2025-02-28T09:41:04Z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eyJoZGlkIjoiZTJlNDBmZDg4NzQzM2UxZWE4MWMzYTNmYjU4NjJhMzkiLCJ1c2VySWQiOiIzODc1NDM2MTYifQ==</vt:lpwstr>
  </property>
  <property fmtid="{D5CDD505-2E9C-101B-9397-08002B2CF9AE}" pid="3" name="KSOProductBuildVer">
    <vt:lpwstr>2052-12.1.0.19770</vt:lpwstr>
  </property>
  <property fmtid="{D5CDD505-2E9C-101B-9397-08002B2CF9AE}" pid="4" name="ICV">
    <vt:lpwstr>AD0F2BE844B242D09519322879987067_12</vt:lpwstr>
  </property>
</Properties>
</file>