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F2B8E">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5DD08640">
      <w:pPr>
        <w:spacing w:line="540" w:lineRule="exact"/>
        <w:jc w:val="center"/>
        <w:rPr>
          <w:rFonts w:ascii="方正小标宋_GBK" w:hAnsi="华文中宋" w:eastAsia="方正小标宋_GBK" w:cs="宋体"/>
          <w:b/>
          <w:kern w:val="0"/>
          <w:sz w:val="48"/>
          <w:szCs w:val="48"/>
        </w:rPr>
      </w:pPr>
    </w:p>
    <w:p w14:paraId="4A206A93">
      <w:pPr>
        <w:spacing w:line="540" w:lineRule="exact"/>
        <w:jc w:val="center"/>
        <w:rPr>
          <w:rFonts w:ascii="方正小标宋_GBK" w:hAnsi="华文中宋" w:eastAsia="方正小标宋_GBK" w:cs="宋体"/>
          <w:b/>
          <w:kern w:val="0"/>
          <w:sz w:val="48"/>
          <w:szCs w:val="48"/>
        </w:rPr>
      </w:pPr>
    </w:p>
    <w:p w14:paraId="04458EA3">
      <w:pPr>
        <w:spacing w:line="540" w:lineRule="exact"/>
        <w:jc w:val="center"/>
        <w:rPr>
          <w:rFonts w:ascii="方正小标宋_GBK" w:hAnsi="华文中宋" w:eastAsia="方正小标宋_GBK" w:cs="宋体"/>
          <w:b/>
          <w:kern w:val="0"/>
          <w:sz w:val="48"/>
          <w:szCs w:val="48"/>
        </w:rPr>
      </w:pPr>
    </w:p>
    <w:p w14:paraId="2A69F625">
      <w:pPr>
        <w:spacing w:line="540" w:lineRule="exact"/>
        <w:jc w:val="center"/>
        <w:rPr>
          <w:rFonts w:ascii="方正小标宋_GBK" w:hAnsi="华文中宋" w:eastAsia="方正小标宋_GBK" w:cs="宋体"/>
          <w:b/>
          <w:kern w:val="0"/>
          <w:sz w:val="48"/>
          <w:szCs w:val="48"/>
        </w:rPr>
      </w:pPr>
    </w:p>
    <w:p w14:paraId="735B976D">
      <w:pPr>
        <w:spacing w:line="540" w:lineRule="exact"/>
        <w:jc w:val="center"/>
        <w:rPr>
          <w:rFonts w:ascii="方正小标宋_GBK" w:hAnsi="华文中宋" w:eastAsia="方正小标宋_GBK" w:cs="宋体"/>
          <w:b/>
          <w:kern w:val="0"/>
          <w:sz w:val="48"/>
          <w:szCs w:val="48"/>
        </w:rPr>
      </w:pPr>
    </w:p>
    <w:p w14:paraId="7B2A1244">
      <w:pPr>
        <w:spacing w:line="540" w:lineRule="exact"/>
        <w:jc w:val="center"/>
        <w:rPr>
          <w:rFonts w:ascii="方正小标宋_GBK" w:hAnsi="华文中宋" w:eastAsia="方正小标宋_GBK" w:cs="宋体"/>
          <w:b/>
          <w:kern w:val="0"/>
          <w:sz w:val="48"/>
          <w:szCs w:val="48"/>
        </w:rPr>
      </w:pPr>
    </w:p>
    <w:p w14:paraId="3253103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FB2F0B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6CE9149">
      <w:pPr>
        <w:spacing w:line="540" w:lineRule="exact"/>
        <w:jc w:val="center"/>
        <w:rPr>
          <w:rFonts w:ascii="华文中宋" w:hAnsi="华文中宋" w:eastAsia="华文中宋" w:cs="宋体"/>
          <w:b/>
          <w:kern w:val="0"/>
          <w:sz w:val="52"/>
          <w:szCs w:val="52"/>
        </w:rPr>
      </w:pPr>
    </w:p>
    <w:p w14:paraId="3461625C">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7788993D">
      <w:pPr>
        <w:spacing w:line="540" w:lineRule="exact"/>
        <w:jc w:val="center"/>
        <w:rPr>
          <w:rFonts w:hAnsi="宋体" w:eastAsia="仿宋_GB2312" w:cs="宋体"/>
          <w:kern w:val="0"/>
          <w:sz w:val="30"/>
          <w:szCs w:val="30"/>
        </w:rPr>
      </w:pPr>
    </w:p>
    <w:p w14:paraId="3D5FED80">
      <w:pPr>
        <w:spacing w:line="540" w:lineRule="exact"/>
        <w:jc w:val="center"/>
        <w:rPr>
          <w:rFonts w:hAnsi="宋体" w:eastAsia="仿宋_GB2312" w:cs="宋体"/>
          <w:kern w:val="0"/>
          <w:sz w:val="30"/>
          <w:szCs w:val="30"/>
        </w:rPr>
      </w:pPr>
    </w:p>
    <w:p w14:paraId="5299AE7E">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166E6D6A">
      <w:pPr>
        <w:spacing w:line="540" w:lineRule="exact"/>
        <w:jc w:val="center"/>
        <w:rPr>
          <w:rFonts w:hAnsi="宋体" w:eastAsia="仿宋_GB2312" w:cs="宋体"/>
          <w:kern w:val="0"/>
          <w:sz w:val="30"/>
          <w:szCs w:val="30"/>
        </w:rPr>
      </w:pPr>
    </w:p>
    <w:p w14:paraId="10AEF2A1">
      <w:pPr>
        <w:spacing w:line="540" w:lineRule="exact"/>
        <w:jc w:val="center"/>
        <w:rPr>
          <w:rFonts w:hAnsi="宋体" w:eastAsia="仿宋_GB2312" w:cs="宋体"/>
          <w:kern w:val="0"/>
          <w:sz w:val="30"/>
          <w:szCs w:val="30"/>
        </w:rPr>
      </w:pPr>
    </w:p>
    <w:p w14:paraId="7946ABA6">
      <w:pPr>
        <w:spacing w:line="540" w:lineRule="exact"/>
        <w:jc w:val="center"/>
        <w:rPr>
          <w:rFonts w:hAnsi="宋体" w:eastAsia="仿宋_GB2312" w:cs="宋体"/>
          <w:kern w:val="0"/>
          <w:sz w:val="30"/>
          <w:szCs w:val="30"/>
        </w:rPr>
      </w:pPr>
    </w:p>
    <w:p w14:paraId="2B303F12">
      <w:pPr>
        <w:spacing w:line="540" w:lineRule="exact"/>
        <w:rPr>
          <w:rFonts w:hAnsi="宋体" w:eastAsia="仿宋_GB2312" w:cs="宋体"/>
          <w:kern w:val="0"/>
          <w:sz w:val="30"/>
          <w:szCs w:val="30"/>
        </w:rPr>
      </w:pPr>
    </w:p>
    <w:p w14:paraId="740947D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9A99D75">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4A36EC54">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22A1E88A">
      <w:pPr>
        <w:spacing w:line="700" w:lineRule="exact"/>
        <w:jc w:val="left"/>
        <w:rPr>
          <w:rFonts w:hAnsi="宋体" w:eastAsia="仿宋_GB2312" w:cs="宋体"/>
          <w:kern w:val="0"/>
          <w:sz w:val="36"/>
          <w:szCs w:val="36"/>
        </w:rPr>
      </w:pPr>
    </w:p>
    <w:p w14:paraId="6902D966">
      <w:pPr>
        <w:spacing w:line="700" w:lineRule="exact"/>
        <w:jc w:val="left"/>
        <w:rPr>
          <w:rFonts w:hAnsi="宋体" w:eastAsia="仿宋_GB2312" w:cs="宋体"/>
          <w:kern w:val="0"/>
          <w:sz w:val="36"/>
          <w:szCs w:val="36"/>
        </w:rPr>
      </w:pPr>
    </w:p>
    <w:p w14:paraId="785DFFC1">
      <w:pPr>
        <w:spacing w:line="700" w:lineRule="exact"/>
        <w:jc w:val="left"/>
        <w:rPr>
          <w:rFonts w:hAnsi="宋体" w:eastAsia="仿宋_GB2312" w:cs="宋体"/>
          <w:kern w:val="0"/>
          <w:sz w:val="36"/>
          <w:szCs w:val="36"/>
        </w:rPr>
      </w:pPr>
    </w:p>
    <w:p w14:paraId="46013FD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0F7ECE3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0EF8A5F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2113D7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环境监察支队主要职责:组织实施州直生态环境保护综合行政执法工作；组织实施大气、水、土壤、噪声、固体废物、机动车等污染防治的监督检查，依法查处企事业单位和个人违反污染防治法律法规的违法行为；负责对州直使用核技术、射线装置利用等电离辐射单位的监督检查；负责组织实施州直各类生态环境保护专项执法行动和重大违法案件调查处理；负责州直生态环境保护综合行政执法工作的业务指导、组织协调和考核评价；完成州生态环境局交办的其他任务。</w:t>
      </w:r>
      <w:r>
        <w:rPr>
          <w:rFonts w:hint="eastAsia" w:ascii="仿宋_GB2312" w:hAnsi="宋体" w:eastAsia="仿宋_GB2312"/>
          <w:b/>
          <w:sz w:val="32"/>
          <w:szCs w:val="32"/>
        </w:rPr>
        <w:cr/>
      </w:r>
    </w:p>
    <w:p w14:paraId="465F9E2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7464829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3DD0E84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伊犁哈萨克自治州生态环境保护综合行政执法支队无下属预算单位，下设4个处室，分别是：办公室、执法一大队、执法二大队、执法三大队。</w:t>
      </w:r>
      <w:r>
        <w:rPr>
          <w:rFonts w:hint="eastAsia" w:ascii="仿宋_GB2312" w:hAnsi="宋体" w:eastAsia="仿宋_GB2312"/>
          <w:b/>
          <w:sz w:val="32"/>
          <w:szCs w:val="32"/>
        </w:rPr>
        <w:cr/>
      </w:r>
    </w:p>
    <w:p w14:paraId="63C6A23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（2）2021年伊犁哈萨克自治州生态环境保护综合行政执法支队实有在职人员为30 人，其中：</w:t>
      </w:r>
      <w:r>
        <w:rPr>
          <w:rFonts w:hint="eastAsia" w:ascii="仿宋_GB2312" w:hAnsi="宋体" w:eastAsia="仿宋_GB2312"/>
          <w:b/>
          <w:sz w:val="32"/>
          <w:szCs w:val="32"/>
        </w:rPr>
        <w:cr/>
      </w:r>
    </w:p>
    <w:p w14:paraId="7CFD669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事业（参照）在职22人（上年23人），同比上年减少1人；</w:t>
      </w:r>
      <w:r>
        <w:rPr>
          <w:rFonts w:hint="eastAsia" w:ascii="仿宋_GB2312" w:hAnsi="宋体" w:eastAsia="仿宋_GB2312"/>
          <w:b/>
          <w:sz w:val="32"/>
          <w:szCs w:val="32"/>
        </w:rPr>
        <w:cr/>
      </w:r>
    </w:p>
    <w:p w14:paraId="01D05CD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736C429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实有退休人员8人（上年8人）,与上年一致。</w:t>
      </w:r>
      <w:r>
        <w:rPr>
          <w:rFonts w:hint="eastAsia" w:ascii="仿宋_GB2312" w:hAnsi="宋体" w:eastAsia="仿宋_GB2312"/>
          <w:b/>
          <w:sz w:val="32"/>
          <w:szCs w:val="32"/>
        </w:rPr>
        <w:cr/>
      </w:r>
    </w:p>
    <w:p w14:paraId="29AE80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6983BD2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日常业务开展经费，计划投入321.53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印刷费、水电费、办公设备购置等。</w:t>
      </w:r>
      <w:r>
        <w:rPr>
          <w:rFonts w:hint="eastAsia" w:ascii="仿宋_GB2312" w:hAnsi="宋体" w:eastAsia="仿宋_GB2312"/>
          <w:b/>
          <w:sz w:val="32"/>
          <w:szCs w:val="32"/>
        </w:rPr>
        <w:cr/>
      </w:r>
    </w:p>
    <w:p w14:paraId="08DC583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生态环境保护综合行政执法支队自身能力建设项目，计划投入26.50万元。一是认真开展疫情防控环境监管，监督医疗机构和医疗废物处置。二是扎实推进生态环境保护综合执法队伍改革。三是积极实施大气联防联控执法。四是大力加强执法队伍建设，持续开展生态环境保护执法大练兵。五是严格落实“双随机、一公开”检查制度。六是扎实做好环境投诉办理工作。七是全力保障自治区生态环境保护督察工作。</w:t>
      </w:r>
      <w:r>
        <w:rPr>
          <w:rFonts w:hint="eastAsia" w:ascii="仿宋_GB2312" w:hAnsi="宋体" w:eastAsia="仿宋_GB2312"/>
          <w:b/>
          <w:sz w:val="32"/>
          <w:szCs w:val="32"/>
        </w:rPr>
        <w:cr/>
      </w:r>
    </w:p>
    <w:p w14:paraId="0DD88FC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18E479F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7FB170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2021年我单位全年预算数为348.03万元，其中：年初批复的财政拨款为331.23万元，年中追加资金16.80万元，调整率5.07%。对比上年362.80万元减少8.34万元，下降2.30%。</w:t>
      </w:r>
      <w:r>
        <w:rPr>
          <w:rFonts w:hint="eastAsia" w:ascii="仿宋_GB2312" w:hAnsi="宋体" w:eastAsia="仿宋_GB2312"/>
          <w:b/>
          <w:sz w:val="32"/>
          <w:szCs w:val="32"/>
        </w:rPr>
        <w:cr/>
      </w:r>
    </w:p>
    <w:p w14:paraId="0276E90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2021年实际决算支出347.35万元，执行率99.80%，其中：</w:t>
      </w:r>
      <w:r>
        <w:rPr>
          <w:rFonts w:hint="eastAsia" w:ascii="仿宋_GB2312" w:hAnsi="宋体" w:eastAsia="仿宋_GB2312"/>
          <w:b/>
          <w:sz w:val="32"/>
          <w:szCs w:val="32"/>
        </w:rPr>
        <w:cr/>
      </w:r>
    </w:p>
    <w:p w14:paraId="56FA57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320.85万元，占总支出的92.37％，主要用于本部门单位机构正常运转、完成日常工作任务而发生的各项支出。其中：工资福利支出289.36万元，主要用于在职和离退休人员基本工资、津贴补贴等人员经费。商品和服务支出29.74万元，主要用于办公费、印刷费、水电费、办公设备购置等。对个人和家庭的补助1.75万元，主要用于退休人员统筹外、个人取暖费等。 </w:t>
      </w:r>
      <w:r>
        <w:rPr>
          <w:rFonts w:hint="eastAsia" w:ascii="仿宋_GB2312" w:hAnsi="宋体" w:eastAsia="仿宋_GB2312"/>
          <w:b/>
          <w:sz w:val="32"/>
          <w:szCs w:val="32"/>
        </w:rPr>
        <w:cr/>
      </w:r>
    </w:p>
    <w:p w14:paraId="580B5DC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26.50万元，占总支出的7.63％。其中：伊犁州生态环境保护综合行政执法支队自身能力建设项目安排26.50万元，主要用于完成为深化推进生态环境保护综合执法队伍改革，保障完成生态环境保护综合行政执法年度工作任务，进一步为打好污染防治攻坚战、建设美丽伊犁提供坚实保障。此项目经批准后，为配合推进生态环境保护综合执法队伍改革，12月底前完成制作并发放新式制服；按季度开展双随机、一公开执法检查，全年共开展4次，在每季度首月完成上季度执法情况公示；完成开展“奎-独-乌”区域大气联防联控兵地联合专项执法检查；执法过程中根据需要委托第三方检测机构进行采样检测，与双随机执法工作同步开展；按月发放一名聘用人员工资。</w:t>
      </w:r>
      <w:r>
        <w:rPr>
          <w:rFonts w:hint="eastAsia" w:ascii="仿宋_GB2312" w:hAnsi="宋体" w:eastAsia="仿宋_GB2312"/>
          <w:b/>
          <w:sz w:val="32"/>
          <w:szCs w:val="32"/>
        </w:rPr>
        <w:cr/>
      </w:r>
    </w:p>
    <w:p w14:paraId="12C1042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（3）本年度重点项目支出26.50万元，重点支出保障率100%。其中重点保障项目是伊犁州生态环境保护综合行政执法支队自身能力建设项目。</w:t>
      </w:r>
      <w:r>
        <w:rPr>
          <w:rFonts w:hint="eastAsia" w:ascii="仿宋_GB2312" w:hAnsi="宋体" w:eastAsia="仿宋_GB2312"/>
          <w:b/>
          <w:sz w:val="32"/>
          <w:szCs w:val="32"/>
        </w:rPr>
        <w:cr/>
      </w:r>
    </w:p>
    <w:p w14:paraId="29C4DC8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（4）本年度我单位全年政府采购预算5.30万元,实际用于政府采购金额5.30万元，采购执行率100%。</w:t>
      </w:r>
      <w:r>
        <w:rPr>
          <w:rFonts w:hint="eastAsia" w:ascii="仿宋_GB2312" w:hAnsi="宋体" w:eastAsia="仿宋_GB2312"/>
          <w:b/>
          <w:sz w:val="32"/>
          <w:szCs w:val="32"/>
        </w:rPr>
        <w:cr/>
      </w:r>
    </w:p>
    <w:p w14:paraId="0656915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09AA6C0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2A4C7FE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我单位整体支出绩效自评采用比较法和因素分析法相结合的方法，主要的原因：一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因素分析法综合分析影响绩效目标实现、实施效果的内外部因素，提高项目实施、款项回笼、资金支付、票据审核及传递及与主管培训部门的沟通交流，提高项目执行的工作效率，达到预定的项目目标。</w:t>
      </w:r>
      <w:r>
        <w:rPr>
          <w:rFonts w:hint="eastAsia" w:ascii="仿宋_GB2312" w:hAnsi="宋体" w:eastAsia="仿宋_GB2312"/>
          <w:b/>
          <w:sz w:val="32"/>
          <w:szCs w:val="32"/>
        </w:rPr>
        <w:cr/>
      </w:r>
    </w:p>
    <w:p w14:paraId="43CDE56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591147D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37DE7C3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48A737D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4B0048B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76A9686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37EED76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涉及对象：本次评价对象是伊犁州生态环境保护综合行政执法支队部门单位所有财政资金支出活动。</w:t>
      </w:r>
      <w:r>
        <w:rPr>
          <w:rFonts w:hint="eastAsia" w:ascii="仿宋_GB2312" w:hAnsi="宋体" w:eastAsia="仿宋_GB2312"/>
          <w:b/>
          <w:sz w:val="32"/>
          <w:szCs w:val="32"/>
        </w:rPr>
        <w:cr/>
      </w:r>
    </w:p>
    <w:p w14:paraId="4DF17C3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6431BB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①基本支出321.53万元，其中：工资福利支出、商品和服务支出、对个人和家庭的补助支出。</w:t>
      </w:r>
      <w:r>
        <w:rPr>
          <w:rFonts w:hint="eastAsia" w:ascii="仿宋_GB2312" w:hAnsi="宋体" w:eastAsia="仿宋_GB2312"/>
          <w:b/>
          <w:sz w:val="32"/>
          <w:szCs w:val="32"/>
        </w:rPr>
        <w:cr/>
      </w:r>
    </w:p>
    <w:p w14:paraId="2E58671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1、211节能环保支出；</w:t>
      </w:r>
      <w:r>
        <w:rPr>
          <w:rFonts w:hint="eastAsia" w:ascii="仿宋_GB2312" w:hAnsi="宋体" w:eastAsia="仿宋_GB2312"/>
          <w:b/>
          <w:sz w:val="32"/>
          <w:szCs w:val="32"/>
        </w:rPr>
        <w:cr/>
      </w:r>
    </w:p>
    <w:p w14:paraId="182F552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2、208社会保障和就业；</w:t>
      </w:r>
      <w:r>
        <w:rPr>
          <w:rFonts w:hint="eastAsia" w:ascii="仿宋_GB2312" w:hAnsi="宋体" w:eastAsia="仿宋_GB2312"/>
          <w:b/>
          <w:sz w:val="32"/>
          <w:szCs w:val="32"/>
        </w:rPr>
        <w:cr/>
      </w:r>
    </w:p>
    <w:p w14:paraId="2316382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3、210医疗卫生与保障支出；</w:t>
      </w:r>
      <w:r>
        <w:rPr>
          <w:rFonts w:hint="eastAsia" w:ascii="仿宋_GB2312" w:hAnsi="宋体" w:eastAsia="仿宋_GB2312"/>
          <w:b/>
          <w:sz w:val="32"/>
          <w:szCs w:val="32"/>
        </w:rPr>
        <w:cr/>
      </w:r>
    </w:p>
    <w:p w14:paraId="2B6E82C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4、221住房保障支出；</w:t>
      </w:r>
      <w:r>
        <w:rPr>
          <w:rFonts w:hint="eastAsia" w:ascii="仿宋_GB2312" w:hAnsi="宋体" w:eastAsia="仿宋_GB2312"/>
          <w:b/>
          <w:sz w:val="32"/>
          <w:szCs w:val="32"/>
        </w:rPr>
        <w:cr/>
      </w:r>
    </w:p>
    <w:p w14:paraId="612EC78D">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②项目支出26.50万元：2021年伊犁州生态环境保护综合行政执法支队自身能力建设项目。</w:t>
      </w:r>
      <w:bookmarkStart w:id="0" w:name="_Hlk43849111"/>
      <w:bookmarkEnd w:id="0"/>
    </w:p>
    <w:p w14:paraId="0C9F343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17444D40">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5DBDA93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1E3A5E3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要求，部门预算及绩效目标在伊犁州政府网站统一公开，广泛接受社会监督。</w:t>
      </w:r>
      <w:r>
        <w:rPr>
          <w:rFonts w:hint="eastAsia" w:ascii="仿宋_GB2312" w:hAnsi="宋体" w:eastAsia="仿宋_GB2312"/>
          <w:b/>
          <w:sz w:val="32"/>
          <w:szCs w:val="32"/>
        </w:rPr>
        <w:cr/>
      </w:r>
    </w:p>
    <w:p w14:paraId="7911353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4FBDAEE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667D728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33F645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321.53万元，实际到位321.53万元,实际支出320.85万元，占总支出的92.37％，其中：工资福利支出289.36万元、商品和服务支出29.74万元、对个人和家庭的补助1.75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水费、电费、邮电费、取暖费、差旅费、培训费、工会经费、福利费、公务用车运行维护费、其他商品和服务支出等。对个人和家庭的补助主要用于退休人员统筹外、个人取暖费等。</w:t>
      </w:r>
      <w:r>
        <w:rPr>
          <w:rFonts w:hint="eastAsia" w:ascii="仿宋_GB2312" w:hAnsi="宋体" w:eastAsia="仿宋_GB2312"/>
          <w:b/>
          <w:sz w:val="32"/>
          <w:szCs w:val="32"/>
        </w:rPr>
        <w:cr/>
      </w:r>
    </w:p>
    <w:p w14:paraId="4CD3FC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2021年基本支出比上年336.87万元,减少16.02万元，下降4.76%，支出减少的主要原因是：2021年3月调出引进人才1人，相应的2021年度工资福利及社保支出等人员经费减少。</w:t>
      </w:r>
      <w:r>
        <w:rPr>
          <w:rFonts w:hint="eastAsia" w:ascii="仿宋_GB2312" w:hAnsi="宋体" w:eastAsia="仿宋_GB2312"/>
          <w:b/>
          <w:sz w:val="32"/>
          <w:szCs w:val="32"/>
        </w:rPr>
        <w:cr/>
      </w:r>
    </w:p>
    <w:p w14:paraId="0E799F4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2021年一般公共预算“三公”经费数为2.30万元，其中：因公出国（境）费0万元，公务用车购置0万元，公务用车运行费2.30万元，公务接待费0万元。</w:t>
      </w:r>
      <w:r>
        <w:rPr>
          <w:rFonts w:hint="eastAsia" w:ascii="仿宋_GB2312" w:hAnsi="宋体" w:eastAsia="仿宋_GB2312"/>
          <w:b/>
          <w:sz w:val="32"/>
          <w:szCs w:val="32"/>
        </w:rPr>
        <w:cr/>
      </w:r>
    </w:p>
    <w:p w14:paraId="14E070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我单位本年度与上年度均未安排此项支出；公务用车购置费为0，未安排预算。公务用车运行费增加0万元，主要原因是本年与上年支出一致，未增加；公务接待费增加0万元，主要原因是我单位本年度与上年度均未安排此项支出。</w:t>
      </w:r>
      <w:r>
        <w:rPr>
          <w:rFonts w:hint="eastAsia" w:ascii="仿宋_GB2312" w:hAnsi="宋体" w:eastAsia="仿宋_GB2312"/>
          <w:b/>
          <w:sz w:val="32"/>
          <w:szCs w:val="32"/>
        </w:rPr>
        <w:cr/>
      </w:r>
    </w:p>
    <w:p w14:paraId="31F9708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52B335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34B32A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2021年预算安排专项资金26.50万元，实际到位26.50万元,到位率100％,其中:中央转移支付项目资金0万元，自治区资金0万元，本级安排26.50万元。</w:t>
      </w:r>
      <w:r>
        <w:rPr>
          <w:rFonts w:hint="eastAsia" w:ascii="仿宋_GB2312" w:hAnsi="宋体" w:eastAsia="仿宋_GB2312"/>
          <w:b/>
          <w:sz w:val="32"/>
          <w:szCs w:val="32"/>
        </w:rPr>
        <w:cr/>
      </w:r>
    </w:p>
    <w:p w14:paraId="3508F65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1ADD968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2021年专项资金支出26.50万元，占总支出的7.63%，其中2021年专项项目支出比上年35.92万元减少9.42万元，下降26.22%。支出减少的主要原因是2021年度财政安排项目资金</w:t>
      </w:r>
      <w:r>
        <w:rPr>
          <w:rFonts w:hint="eastAsia" w:ascii="仿宋_GB2312" w:hAnsi="宋体" w:eastAsia="仿宋_GB2312"/>
          <w:b/>
          <w:sz w:val="32"/>
          <w:szCs w:val="32"/>
          <w:lang w:val="en-US" w:eastAsia="zh-CN"/>
        </w:rPr>
        <w:t>根</w:t>
      </w:r>
      <w:r>
        <w:rPr>
          <w:rFonts w:hint="eastAsia" w:ascii="仿宋_GB2312" w:hAnsi="宋体" w:eastAsia="仿宋_GB2312"/>
          <w:b/>
          <w:sz w:val="32"/>
          <w:szCs w:val="32"/>
        </w:rPr>
        <w:t>据实际需求有所减少。其中：生态环境保护综合行政执法支队自身能力建设项目安排26.50万元，主要用于完成执法业务保障经费14万元（执法设备器材耗材、维护保养及保障用品1万元、委托第三方监测和专家指导经费6万元、聘用司机劳务费5万元、伊宁市、奎屯市周边区域大气联防联控兵地联合指导帮扶专项执法经费2万元）、制作执法新式服装费用12.5万元。</w:t>
      </w:r>
      <w:r>
        <w:rPr>
          <w:rFonts w:hint="eastAsia" w:ascii="仿宋_GB2312" w:hAnsi="宋体" w:eastAsia="仿宋_GB2312"/>
          <w:b/>
          <w:sz w:val="32"/>
          <w:szCs w:val="32"/>
        </w:rPr>
        <w:cr/>
      </w:r>
    </w:p>
    <w:p w14:paraId="55A2704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16C6525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40A51B9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一是制订专项资金管理制度；二是各专项资金建立了专账；三是制订了项目实施方案；四是认真组织项目验收。切实确保专项资金都做到了专款专用。其中：</w:t>
      </w:r>
      <w:r>
        <w:rPr>
          <w:rFonts w:hint="eastAsia" w:ascii="仿宋_GB2312" w:hAnsi="宋体" w:eastAsia="仿宋_GB2312"/>
          <w:b/>
          <w:sz w:val="32"/>
          <w:szCs w:val="32"/>
        </w:rPr>
        <w:cr/>
      </w:r>
    </w:p>
    <w:p w14:paraId="537F0F5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生态环境保护综合行政执法支队财务管理制度》，为加强资金安排管理，我单位严格专项支出审批，明确资金申报范围、程序和具体要求，要求申报项目必须符合政策要求，必须产生明显的环境、经济和社会效益；另一方面，加强资金使用过程中的监督监控，严格按照资金管理使用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1F85679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（2）建立州生态环境保护综合行政执法支队自身能力建设项目专项资金专账，做到有据可依，有据可查。</w:t>
      </w:r>
      <w:r>
        <w:rPr>
          <w:rFonts w:hint="eastAsia" w:ascii="仿宋_GB2312" w:hAnsi="宋体" w:eastAsia="仿宋_GB2312"/>
          <w:b/>
          <w:sz w:val="32"/>
          <w:szCs w:val="32"/>
        </w:rPr>
        <w:cr/>
      </w:r>
    </w:p>
    <w:p w14:paraId="398328C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（3）制订了州生态环境保护综合行政执法支队自身能力建设项目实施方案，确保项目达标验收管理办法。</w:t>
      </w:r>
      <w:r>
        <w:rPr>
          <w:rFonts w:hint="eastAsia" w:ascii="仿宋_GB2312" w:hAnsi="宋体" w:eastAsia="仿宋_GB2312"/>
          <w:b/>
          <w:sz w:val="32"/>
          <w:szCs w:val="32"/>
        </w:rPr>
        <w:cr/>
      </w:r>
    </w:p>
    <w:p w14:paraId="5431D3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（4）认真组织项目专家进行评估验收，确保工作的完成落实。</w:t>
      </w:r>
      <w:r>
        <w:rPr>
          <w:rFonts w:hint="eastAsia" w:ascii="仿宋_GB2312" w:hAnsi="宋体" w:eastAsia="仿宋_GB2312"/>
          <w:b/>
          <w:sz w:val="32"/>
          <w:szCs w:val="32"/>
        </w:rPr>
        <w:cr/>
      </w:r>
    </w:p>
    <w:p w14:paraId="5A3EBF7D">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专项资金涉及政府采购项目的，按照《伊犁州采购与招标管理办法》组织人员制定采购计划，按照财政局采购部门批复，进行公开招标、邀请招标等方式进行。</w:t>
      </w:r>
    </w:p>
    <w:p w14:paraId="77C166B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5B246D36">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48EF850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7FDC187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自身能力建设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7E24C0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0C23EC8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部门审核备案后，实施专项项目绩效自评。自评内容主要包括以下两个方面：</w:t>
      </w:r>
      <w:r>
        <w:rPr>
          <w:rFonts w:hint="eastAsia" w:ascii="仿宋_GB2312" w:hAnsi="宋体" w:eastAsia="仿宋_GB2312"/>
          <w:b/>
          <w:sz w:val="32"/>
          <w:szCs w:val="32"/>
        </w:rPr>
        <w:cr/>
      </w:r>
    </w:p>
    <w:p w14:paraId="63F5A4F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04ADC1E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12E4DD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截止12月30日，该专项均按照时间计划保质、保量完成。</w:t>
      </w:r>
      <w:r>
        <w:rPr>
          <w:rFonts w:hint="eastAsia" w:ascii="仿宋_GB2312" w:hAnsi="宋体" w:eastAsia="仿宋_GB2312"/>
          <w:b/>
          <w:sz w:val="32"/>
          <w:szCs w:val="32"/>
        </w:rPr>
        <w:cr/>
      </w:r>
    </w:p>
    <w:p w14:paraId="52C463C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634792A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3BA2E7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26.50万元，实际到位26.50万元，资金到位率100%。截止到2021年12月30日执行26.50万元，执行率100%。其中：2021年结转专项资金0万元，实际执行0万元，执行率为0.00%；2021年新增专项资金26.50万元，实际执行26.50万元，执行率为100%。</w:t>
      </w:r>
      <w:r>
        <w:rPr>
          <w:rFonts w:hint="eastAsia" w:ascii="仿宋_GB2312" w:hAnsi="宋体" w:eastAsia="仿宋_GB2312"/>
          <w:b/>
          <w:sz w:val="32"/>
          <w:szCs w:val="32"/>
        </w:rPr>
        <w:cr/>
      </w:r>
    </w:p>
    <w:p w14:paraId="773A6E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777EE7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2014】84号《伊犁州本级项目支出预算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6A4F6A3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52E27C7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4412AD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保护综合行政执法支队根据2021年1个项目的绩效目标及工作内容，将其细化分工至本单位办公室成员，明确分工，各司其职，抓好工作目标任务的落实完成。同时年中按照年初预算对本单位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4F1A222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1A46832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伊犁州生态环境保护综合行政执法支队实施的1个项目，由办公室室指派专人进行全过程跟踪管理，科室负责人统筹推进项目实施，单位领导不定期对项目进度进行调度，并对项目质量进行控制。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14:paraId="350987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345967C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办公室从项目实施方案、项目预算、项目建设进度、项目成本、项目验收等环节，全过程对项目进行监管，并向本单位主要领导报告，以推进项目建设和提高项目质量，以发挥资金使用效益。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6FDD290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4326778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327393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保护综合行政执法支队自身能力建设项目所涉及专项项目均已于专项资金下达后按照资金文件及绩效管理要求设置《项目绩效目标表》。1个专项项目预算总额为26.50万元，在项目实施过程中，业务人员加强项目管理，合理控制项目成本，截止项目结束，1个项目总成本为26.50万元，不存在超支情况。</w:t>
      </w:r>
      <w:r>
        <w:rPr>
          <w:rFonts w:hint="eastAsia" w:ascii="仿宋_GB2312" w:hAnsi="宋体" w:eastAsia="仿宋_GB2312"/>
          <w:b/>
          <w:sz w:val="32"/>
          <w:szCs w:val="32"/>
        </w:rPr>
        <w:cr/>
      </w:r>
    </w:p>
    <w:p w14:paraId="2A21F6F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43E1285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伊犁州生态环境保护综合行政执法支队所涉及专项项目使用资金比专项项目总预算减少0万元，项目节约率为0.00%。</w:t>
      </w:r>
      <w:r>
        <w:rPr>
          <w:rFonts w:hint="eastAsia" w:ascii="仿宋_GB2312" w:hAnsi="宋体" w:eastAsia="仿宋_GB2312"/>
          <w:b/>
          <w:sz w:val="32"/>
          <w:szCs w:val="32"/>
        </w:rPr>
        <w:cr/>
      </w:r>
    </w:p>
    <w:p w14:paraId="5BCBA51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6B6922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0D793B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2021年伊犁州生态环境保护综合行政执法支队共涉及专项项目1个，截止到2021年底，通过专项项目实施过程中的有效监督，我单位按预期完成了1个专项的各项专项任务，项目总体完成率为100%。</w:t>
      </w:r>
      <w:r>
        <w:rPr>
          <w:rFonts w:hint="eastAsia" w:ascii="仿宋_GB2312" w:hAnsi="宋体" w:eastAsia="仿宋_GB2312"/>
          <w:b/>
          <w:sz w:val="32"/>
          <w:szCs w:val="32"/>
        </w:rPr>
        <w:cr/>
      </w:r>
    </w:p>
    <w:p w14:paraId="62336E9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4F1A802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2021年伊犁州生态环境保护综合行政执法支队自身能力建设专项项目完成质量情况如下：</w:t>
      </w:r>
      <w:r>
        <w:rPr>
          <w:rFonts w:hint="eastAsia" w:ascii="仿宋_GB2312" w:hAnsi="宋体" w:eastAsia="仿宋_GB2312"/>
          <w:b/>
          <w:sz w:val="32"/>
          <w:szCs w:val="32"/>
        </w:rPr>
        <w:cr/>
      </w:r>
    </w:p>
    <w:p w14:paraId="22D2196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认真开展疫情防控环境监管，监督医疗机构和医疗废物处置。二是扎实推进生态环境保护综合执法队伍改革。明确了内设机构、人员编制、工作职责，完成制式服装配备。三是积极实施大气联防联控执法。联合兵团第四师、第七师共同开展大气污染兵地联防联控，参加自治区五轮次重点区域大气污染源兵地联合执法。四是大力加强执法队伍建设，持续开展生态环境保护执法大练兵，获得自治区执法大练兵表现突出集体。五是严格落实“双随机、一公开”检查制度，全年分12组共出动155人次共对82家企业进行了现场指导帮扶，共反馈问题63个，提出工作建议66条。六是扎实做好环境投诉办理工作。全年受理、处理12369平台信访投诉444件。七是全力保障自治区生态环境保护督察工作，办理环保</w:t>
      </w:r>
      <w:r>
        <w:rPr>
          <w:rFonts w:hint="eastAsia" w:ascii="仿宋_GB2312" w:hAnsi="宋体" w:eastAsia="仿宋_GB2312"/>
          <w:b/>
          <w:sz w:val="32"/>
          <w:szCs w:val="32"/>
          <w:lang w:val="en-US" w:eastAsia="zh-CN"/>
        </w:rPr>
        <w:t>督察</w:t>
      </w:r>
      <w:bookmarkStart w:id="1" w:name="_GoBack"/>
      <w:bookmarkEnd w:id="1"/>
      <w:r>
        <w:rPr>
          <w:rFonts w:hint="eastAsia" w:ascii="仿宋_GB2312" w:hAnsi="宋体" w:eastAsia="仿宋_GB2312"/>
          <w:b/>
          <w:sz w:val="32"/>
          <w:szCs w:val="32"/>
        </w:rPr>
        <w:t>信访案件61件。</w:t>
      </w:r>
      <w:r>
        <w:rPr>
          <w:rFonts w:hint="eastAsia" w:ascii="仿宋_GB2312" w:hAnsi="宋体" w:eastAsia="仿宋_GB2312"/>
          <w:b/>
          <w:sz w:val="32"/>
          <w:szCs w:val="32"/>
        </w:rPr>
        <w:cr/>
      </w:r>
    </w:p>
    <w:p w14:paraId="0D4BDA2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704E287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2021年伊犁州生态环境保护综合行政执法支队自身能力建设专项项目预期目标完成程度、实施对经济和社会的影响如下：</w:t>
      </w:r>
      <w:r>
        <w:rPr>
          <w:rFonts w:hint="eastAsia" w:ascii="仿宋_GB2312" w:hAnsi="宋体" w:eastAsia="仿宋_GB2312"/>
          <w:b/>
          <w:sz w:val="32"/>
          <w:szCs w:val="32"/>
        </w:rPr>
        <w:cr/>
      </w:r>
    </w:p>
    <w:p w14:paraId="60B243B8">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为配合推进生态环境保护综合执法队伍改革，12月底前完成制作并发放新式制服；按季度开展双随机、一公开执法检查，全年共开展4次，在每季度首月完成上季度执法情况公示；完成开展“奎-独-乌”区域大气联防联控兵地联合专项执法检查；执法过程中根据需要委托第三方检测机构进行采样检测，与双随机执法工作同步开展；按月发放一名聘用人员工资。</w:t>
      </w:r>
    </w:p>
    <w:p w14:paraId="2D04D6E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469A26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386DDD6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101.85万元，其中流动资产0.33万元（其中其他应收款净额0.33万元），固定资产净值101.52万元（其中：土地、房屋及构筑物30.95万元，占固定资产净值的30.49%；通用设备37.73万元，占固定资产净值的37.16%；专用设备30.56万元，占固定资产净值的30.10%；家具、用具、装具2.28万元，占固定资产净值的2.25%）。</w:t>
      </w:r>
    </w:p>
    <w:p w14:paraId="290B71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本年度流动资产0.33万元，比上年减少29.15万元，原因是：财政应返还额度及其他应收款减少。</w:t>
      </w:r>
    </w:p>
    <w:p w14:paraId="72D942C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本年度固定资产101.52万元，比上年减少18.57万元，原因是：本年度未新增固定资产，减少的为计提旧。</w:t>
      </w:r>
    </w:p>
    <w:p w14:paraId="6AF3385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实际在用固定资产101.52万元，固定资产利用率100%。</w:t>
      </w:r>
    </w:p>
    <w:p w14:paraId="69B9A6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159FCD1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46EBF9A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998F0D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1FB96425">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1D5EED9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2021年度我单位年初预算安排331.23万元，年中调整16.80万元，截止12月底支出347.35万元，执行率99.80%。</w:t>
      </w:r>
      <w:r>
        <w:rPr>
          <w:rFonts w:hint="eastAsia" w:ascii="仿宋_GB2312" w:hAnsi="宋体" w:eastAsia="仿宋_GB2312"/>
          <w:b/>
          <w:sz w:val="32"/>
          <w:szCs w:val="32"/>
        </w:rPr>
        <w:cr/>
      </w:r>
    </w:p>
    <w:p w14:paraId="2602A39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5AB4E06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2873C60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44047D7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以来，伊犁州生态环境保护综合行政执法支队按照自治区生态环境厅的工作要求和州党委、政府确定的生态环境保护目标任务，以改善生态环境质量为核心，坚决打好污染防治攻坚战，为促进经济持续健康发展与社会和谐稳定提供了有力的支撑和保障。</w:t>
      </w:r>
      <w:r>
        <w:rPr>
          <w:rFonts w:hint="eastAsia" w:ascii="仿宋_GB2312" w:hAnsi="宋体" w:eastAsia="仿宋_GB2312"/>
          <w:b/>
          <w:sz w:val="32"/>
          <w:szCs w:val="32"/>
        </w:rPr>
        <w:cr/>
      </w:r>
    </w:p>
    <w:p w14:paraId="55D4E00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1、圆满完成了生态环境执法工作</w:t>
      </w:r>
      <w:r>
        <w:rPr>
          <w:rFonts w:hint="eastAsia" w:ascii="仿宋_GB2312" w:hAnsi="宋体" w:eastAsia="仿宋_GB2312"/>
          <w:b/>
          <w:sz w:val="32"/>
          <w:szCs w:val="32"/>
        </w:rPr>
        <w:cr/>
      </w:r>
    </w:p>
    <w:p w14:paraId="7B88A88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认真组织开展疫情防控环境监管。对州级及县市医疗机构和医疗废物处置单位进行常态化指导检查。二是落实“双随机、一公开”制度。全年出动执法人员374人次，帮扶企业418家次，发现问题225个，现场提出工作要求328个，依法立案调查17起。三是有序推进辐射安全、危险废物管理、扬尘污染治理、入河排污口排查等专项执法工作。四是全力保障自治区生态环境保护督察工作。办结并完成上报二十二批共61件信访案件。五是积极完善联防联控执法工作机制。与兵团第四师、第七师共同开展大气污染兵地联防联控。</w:t>
      </w:r>
      <w:r>
        <w:rPr>
          <w:rFonts w:hint="eastAsia" w:ascii="仿宋_GB2312" w:hAnsi="宋体" w:eastAsia="仿宋_GB2312"/>
          <w:b/>
          <w:sz w:val="32"/>
          <w:szCs w:val="32"/>
        </w:rPr>
        <w:cr/>
      </w:r>
    </w:p>
    <w:p w14:paraId="0F2A85C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2、执法队伍着装采购提前完成</w:t>
      </w:r>
      <w:r>
        <w:rPr>
          <w:rFonts w:hint="eastAsia" w:ascii="仿宋_GB2312" w:hAnsi="宋体" w:eastAsia="仿宋_GB2312"/>
          <w:b/>
          <w:sz w:val="32"/>
          <w:szCs w:val="32"/>
        </w:rPr>
        <w:cr/>
      </w:r>
    </w:p>
    <w:p w14:paraId="45DB652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扎实推进生态环境保护综合执法队伍改革，设立了自治州生态环境保护综合行政执法支队，明确了内设机构、人员编制、工作职责。制式服装和标志换发工作稳步推进，争取财政资金12.5万元，购置了生态环境执法制服，并在6月30日前换发到位。</w:t>
      </w:r>
      <w:r>
        <w:rPr>
          <w:rFonts w:hint="eastAsia" w:ascii="仿宋_GB2312" w:hAnsi="宋体" w:eastAsia="仿宋_GB2312"/>
          <w:b/>
          <w:sz w:val="32"/>
          <w:szCs w:val="32"/>
        </w:rPr>
        <w:cr/>
      </w:r>
    </w:p>
    <w:p w14:paraId="1D1EE68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3、环境执法大练兵活动成效显著</w:t>
      </w:r>
      <w:r>
        <w:rPr>
          <w:rFonts w:hint="eastAsia" w:ascii="仿宋_GB2312" w:hAnsi="宋体" w:eastAsia="仿宋_GB2312"/>
          <w:b/>
          <w:sz w:val="32"/>
          <w:szCs w:val="32"/>
        </w:rPr>
        <w:cr/>
      </w:r>
    </w:p>
    <w:p w14:paraId="61ED3F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执法人员全员参与执法大练兵，帮扶指导县市分局开展执法大练兵工作，并选取典型案件进行评查。伊犁州生态环境保护综合行政执法支队获得自治区执法大练兵优秀单位，4人获得优秀个人称号。</w:t>
      </w:r>
      <w:r>
        <w:rPr>
          <w:rFonts w:hint="eastAsia" w:ascii="仿宋_GB2312" w:hAnsi="宋体" w:eastAsia="仿宋_GB2312"/>
          <w:b/>
          <w:sz w:val="32"/>
          <w:szCs w:val="32"/>
        </w:rPr>
        <w:cr/>
      </w:r>
    </w:p>
    <w:p w14:paraId="58E7182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4、建设生态环境保护执法铁军政治标准全面达标，群众满意度高。</w:t>
      </w:r>
      <w:r>
        <w:rPr>
          <w:rFonts w:hint="eastAsia" w:ascii="仿宋_GB2312" w:hAnsi="宋体" w:eastAsia="仿宋_GB2312"/>
          <w:b/>
          <w:sz w:val="32"/>
          <w:szCs w:val="32"/>
        </w:rPr>
        <w:cr/>
      </w:r>
    </w:p>
    <w:p w14:paraId="643B226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强化政治意识。坚持把抓好党员干部学习教育放在首位，坚持政治理论学习制度，深刻把握“两个确立”，努力践行“两个维护”。二是提升业务能力。开展了兵地联合执法、大练兵、双随机抽查、重点区域大气防治联防联控执法帮扶、蓝天保卫战等各项专项执法行动,在实战中提高业务能力。三加强廉政教育。建立严格的工作制度，督促执法人员认真贯彻执行各项廉政规定。执法过程中注重调查研究，不弄虚作假，不徇私情，不越权，不渎职。</w:t>
      </w:r>
      <w:r>
        <w:rPr>
          <w:rFonts w:hint="eastAsia" w:ascii="仿宋_GB2312" w:hAnsi="宋体" w:eastAsia="仿宋_GB2312"/>
          <w:b/>
          <w:sz w:val="32"/>
          <w:szCs w:val="32"/>
        </w:rPr>
        <w:cr/>
      </w:r>
    </w:p>
    <w:p w14:paraId="4851284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747DC4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执法支队财政资金支出的有效性主要体现在我单位各项工作成效上，一是思想基础进一步夯实，二是执法能力进一步提升，三是执法装备进一步改善，四是执法效率进一步提高，五是行政执法标准化建设进一步推进，七是人民群众环境权益保障水平进一步增强。</w:t>
      </w:r>
      <w:r>
        <w:rPr>
          <w:rFonts w:hint="eastAsia" w:ascii="仿宋_GB2312" w:hAnsi="宋体" w:eastAsia="仿宋_GB2312"/>
          <w:b/>
          <w:sz w:val="32"/>
          <w:szCs w:val="32"/>
        </w:rPr>
        <w:cr/>
      </w:r>
    </w:p>
    <w:p w14:paraId="02335AC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伊犁州生态环境保护综合行政执法支队部门单位整体绩效目标共设置一级指标3个，二级指标8个，三级指标15个，详细说明如下</w:t>
      </w:r>
      <w:r>
        <w:rPr>
          <w:rFonts w:hint="eastAsia" w:ascii="仿宋_GB2312" w:hAnsi="宋体" w:eastAsia="仿宋_GB2312"/>
          <w:b/>
          <w:sz w:val="32"/>
          <w:szCs w:val="32"/>
        </w:rPr>
        <w:cr/>
      </w:r>
    </w:p>
    <w:p w14:paraId="21C9E9E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55FB70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指标1：保障在职人员，指标值：&gt;=23人 ，实际完成值：22人，指标完成率95.65%；</w:t>
      </w:r>
      <w:r>
        <w:rPr>
          <w:rFonts w:hint="eastAsia" w:ascii="仿宋_GB2312" w:hAnsi="宋体" w:eastAsia="仿宋_GB2312"/>
          <w:b/>
          <w:sz w:val="32"/>
          <w:szCs w:val="32"/>
        </w:rPr>
        <w:cr/>
      </w:r>
    </w:p>
    <w:p w14:paraId="27DBA4B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指标2：制作执法服装套数，指标值：=25套，实际完成值：25套，指标完成率100%；</w:t>
      </w:r>
      <w:r>
        <w:rPr>
          <w:rFonts w:hint="eastAsia" w:ascii="仿宋_GB2312" w:hAnsi="宋体" w:eastAsia="仿宋_GB2312"/>
          <w:b/>
          <w:sz w:val="32"/>
          <w:szCs w:val="32"/>
        </w:rPr>
        <w:cr/>
      </w:r>
    </w:p>
    <w:p w14:paraId="62A5122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47AC72E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指标1：工资及公用经费保障率，指标值：＝100%，实际完成值100%，指标完成率100%；</w:t>
      </w:r>
      <w:r>
        <w:rPr>
          <w:rFonts w:hint="eastAsia" w:ascii="仿宋_GB2312" w:hAnsi="宋体" w:eastAsia="仿宋_GB2312"/>
          <w:b/>
          <w:sz w:val="32"/>
          <w:szCs w:val="32"/>
        </w:rPr>
        <w:cr/>
      </w:r>
    </w:p>
    <w:p w14:paraId="359A7AD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指标2：执法服装质量合格率，指标值：=100%，实际完成值：100%，指标完成率100%。</w:t>
      </w:r>
      <w:r>
        <w:rPr>
          <w:rFonts w:hint="eastAsia" w:ascii="仿宋_GB2312" w:hAnsi="宋体" w:eastAsia="仿宋_GB2312"/>
          <w:b/>
          <w:sz w:val="32"/>
          <w:szCs w:val="32"/>
        </w:rPr>
        <w:cr/>
      </w:r>
    </w:p>
    <w:p w14:paraId="7348DD2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47C9D87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w:t>
      </w:r>
      <w:r>
        <w:rPr>
          <w:rFonts w:hint="eastAsia" w:ascii="仿宋_GB2312" w:hAnsi="宋体" w:eastAsia="仿宋_GB2312"/>
          <w:b/>
          <w:sz w:val="32"/>
          <w:szCs w:val="32"/>
        </w:rPr>
        <w:cr/>
      </w:r>
    </w:p>
    <w:p w14:paraId="2D077C7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指标2：年度检查任务按时完成率，指标值：=100%，实际完成值：100%，指标完成率100%%。</w:t>
      </w:r>
      <w:r>
        <w:rPr>
          <w:rFonts w:hint="eastAsia" w:ascii="仿宋_GB2312" w:hAnsi="宋体" w:eastAsia="仿宋_GB2312"/>
          <w:b/>
          <w:sz w:val="32"/>
          <w:szCs w:val="32"/>
        </w:rPr>
        <w:cr/>
      </w:r>
    </w:p>
    <w:p w14:paraId="1AAF21D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397F912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指标1：人均运转经费数，指标值：&lt;=1.4万元，实际完成值：1.35万元，指标完成率96.43%；</w:t>
      </w:r>
      <w:r>
        <w:rPr>
          <w:rFonts w:hint="eastAsia" w:ascii="仿宋_GB2312" w:hAnsi="宋体" w:eastAsia="仿宋_GB2312"/>
          <w:b/>
          <w:sz w:val="32"/>
          <w:szCs w:val="32"/>
        </w:rPr>
        <w:cr/>
      </w:r>
    </w:p>
    <w:p w14:paraId="74C122A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指标2：人均支出标准，指标值：&lt;=11.85万元，实际完成值：11.83万元，指标完成率99.83%；</w:t>
      </w:r>
      <w:r>
        <w:rPr>
          <w:rFonts w:hint="eastAsia" w:ascii="仿宋_GB2312" w:hAnsi="宋体" w:eastAsia="仿宋_GB2312"/>
          <w:b/>
          <w:sz w:val="32"/>
          <w:szCs w:val="32"/>
        </w:rPr>
        <w:cr/>
      </w:r>
    </w:p>
    <w:p w14:paraId="331A1E4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指标3：制作执法服装单价，指标值：&lt;=0.5万元，实际完成值：0.5万元，指标完成率100%；</w:t>
      </w:r>
      <w:r>
        <w:rPr>
          <w:rFonts w:hint="eastAsia" w:ascii="仿宋_GB2312" w:hAnsi="宋体" w:eastAsia="仿宋_GB2312"/>
          <w:b/>
          <w:sz w:val="32"/>
          <w:szCs w:val="32"/>
        </w:rPr>
        <w:cr/>
      </w:r>
    </w:p>
    <w:p w14:paraId="78B83B4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6307657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指标1：双随机、一公开检查结果公开率，指标值：&gt;=100%，实际完成值：100%，指标完成率100%；</w:t>
      </w:r>
      <w:r>
        <w:rPr>
          <w:rFonts w:hint="eastAsia" w:ascii="仿宋_GB2312" w:hAnsi="宋体" w:eastAsia="仿宋_GB2312"/>
          <w:b/>
          <w:sz w:val="32"/>
          <w:szCs w:val="32"/>
        </w:rPr>
        <w:cr/>
      </w:r>
    </w:p>
    <w:p w14:paraId="369CD7E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指标2：创新工作机制，保证单位环境监察执法工作的正常开展，指标值：有效保障，实际完成值：有效保障，指标完成率100%。</w:t>
      </w:r>
      <w:r>
        <w:rPr>
          <w:rFonts w:hint="eastAsia" w:ascii="仿宋_GB2312" w:hAnsi="宋体" w:eastAsia="仿宋_GB2312"/>
          <w:b/>
          <w:sz w:val="32"/>
          <w:szCs w:val="32"/>
        </w:rPr>
        <w:cr/>
      </w:r>
    </w:p>
    <w:p w14:paraId="6F5B5C1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6、生态效益指标：</w:t>
      </w:r>
      <w:r>
        <w:rPr>
          <w:rFonts w:hint="eastAsia" w:ascii="仿宋_GB2312" w:hAnsi="宋体" w:eastAsia="仿宋_GB2312"/>
          <w:b/>
          <w:sz w:val="32"/>
          <w:szCs w:val="32"/>
        </w:rPr>
        <w:cr/>
      </w:r>
    </w:p>
    <w:p w14:paraId="7EFA44F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指标1：伊犁州生态环境质量改善，指标值：有效改善，实际完成值：有效改善，指标完成率100%。</w:t>
      </w:r>
      <w:r>
        <w:rPr>
          <w:rFonts w:hint="eastAsia" w:ascii="仿宋_GB2312" w:hAnsi="宋体" w:eastAsia="仿宋_GB2312"/>
          <w:b/>
          <w:sz w:val="32"/>
          <w:szCs w:val="32"/>
        </w:rPr>
        <w:cr/>
      </w:r>
    </w:p>
    <w:p w14:paraId="7E98793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14:paraId="42CECC8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指标1：提升生态环境保护综合执法水平，指标值：有效提升，实际完成值：有效提升，指标完成率100%。</w:t>
      </w:r>
      <w:r>
        <w:rPr>
          <w:rFonts w:hint="eastAsia" w:ascii="仿宋_GB2312" w:hAnsi="宋体" w:eastAsia="仿宋_GB2312"/>
          <w:b/>
          <w:sz w:val="32"/>
          <w:szCs w:val="32"/>
        </w:rPr>
        <w:cr/>
      </w:r>
    </w:p>
    <w:p w14:paraId="5D8B9BB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14:paraId="36876A4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指标1：上级主管部门满意度，指标值：&gt;=95%，实际完成值：94.36%，指标完成率99.33%；</w:t>
      </w:r>
      <w:r>
        <w:rPr>
          <w:rFonts w:hint="eastAsia" w:ascii="仿宋_GB2312" w:hAnsi="宋体" w:eastAsia="仿宋_GB2312"/>
          <w:b/>
          <w:sz w:val="32"/>
          <w:szCs w:val="32"/>
        </w:rPr>
        <w:cr/>
      </w:r>
    </w:p>
    <w:p w14:paraId="3893C471">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指标2：干部职工满意度，指标值：&gt;=95%，实际完成值：100%，指标完成率105.26%。</w:t>
      </w:r>
    </w:p>
    <w:p w14:paraId="64420B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61ED66A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项目支出绩效工作过程中，预算编制工作有待细化，指标体系设置中部分指标不能较好地反映实际工作情况，主要的原因是设置指标时缺乏与业务科室的深度沟通和交流，指标设置仅停留在资金使用层面，与业务层面的融合程度不够。</w:t>
      </w:r>
    </w:p>
    <w:p w14:paraId="1151F44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指标体系设置与项目执行的重点还存在一定的差距，指标值的设置与实际工作可达到程度还存在一定的差距，主要的原因是相关工作人员编制项目指标的经验不足，绩效管理意识不强，也没有相关的指标体系的设置可供参考。业务部门对预算绩效管理、绩效理念与贯穿于实践工作的程度还有一定的提升空间，对指标设置工作认识还需进一步加强。</w:t>
      </w:r>
    </w:p>
    <w:p w14:paraId="75E0F85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 在资金管理方面，项目资金使用的灵活度不高，审批流程严格，因此，资金使用效益有待于进一步提高。</w:t>
      </w:r>
    </w:p>
    <w:p w14:paraId="10BDB83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543F9B8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7131996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及伊犁州财政局制定的项目绩效管理办法的宣传、学习。科学合理编制预算，要做好编制前的调查研究和分析工作，进一步提高预算的准确性和科学性，降低预算编制的随意性，加强项目指标设置的科学性和有效性，进一步发挥预算绩效管理对单位项目资金管理的有效作用。</w:t>
      </w:r>
    </w:p>
    <w:p w14:paraId="30827F0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在项目目标设置方面，该项目所设定的绩效目标是在充分考虑贯彻落实党的各项方针政策，满足全州干部群众学习教育的总体需要，提高各级干部为民服务的本领，单位现实需要的基础上确定的，目标设定的绩效指标清晰、细化、具有可操作性和可衡量性，符合单位客观实际，能够反映和考核项目实施的实际需要。</w:t>
      </w:r>
    </w:p>
    <w:p w14:paraId="389791C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项目实施过程中，单位内部控制各工作小组各负其责，按照项目方案积极发挥相关职能作用，认真把好预算、采购、合同、资产验收、交付使用、资金支付等各环节工作，确保设备采购价廉物美，及时有效满足单位工作的需要。</w:t>
      </w:r>
    </w:p>
    <w:p w14:paraId="2BAB75C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4.加强培训，提高自我评价的能力和水平。我单位根据伊犁州财政局下发的《项目支出绩效评价管理办法》组织对相关人员进行培训，提高项目评价人员的专业能力。</w:t>
      </w:r>
    </w:p>
    <w:p w14:paraId="0B1364E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客观公正，公开透明。在项目进行自评时本着科学公正、统筹兼顾、激励约束、公开透明的基本原则严格按照《项目支出绩效评价管理办法》的要求开展有关的项目评价，目标明确，程序合规，专款专用，强化监督。</w:t>
      </w:r>
    </w:p>
    <w:p w14:paraId="5648EFB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4C1437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使预算充分反映以政府为主体的资金收支活动全貌，保证预算的可执行性。</w:t>
      </w:r>
    </w:p>
    <w:p w14:paraId="7F699F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4E1AEA6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3.选取切实可行、操作性较强的考核指标，建立考核指标的标准模板。</w:t>
      </w:r>
    </w:p>
    <w:p w14:paraId="7D77FB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4.加强资金使用部门对绩效评价工作的认识和重视程度，并将评价结果运用于工作始终。</w:t>
      </w:r>
    </w:p>
    <w:p w14:paraId="5700D414">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5.同时做好项目实施管理与资金使用的匹配，根据项目实施计划，制定出科学合理的资金计划，不断提高资金使用效率。</w:t>
      </w:r>
    </w:p>
    <w:p w14:paraId="5F744FF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34591B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8E67100"/>
    <w:rsid w:val="3BCB36D8"/>
    <w:rsid w:val="4A195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9953</Words>
  <Characters>10581</Characters>
  <Lines>2</Lines>
  <Paragraphs>1</Paragraphs>
  <TotalTime>12</TotalTime>
  <ScaleCrop>false</ScaleCrop>
  <LinksUpToDate>false</LinksUpToDate>
  <CharactersWithSpaces>10609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2025-02-28T09:46:32Z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B1A362550474433B935EB9506267BD6B_12</vt:lpwstr>
  </property>
  <property fmtid="{D5CDD505-2E9C-101B-9397-08002B2CF9AE}" pid="4" name="KSOTemplateDocerSaveRecord">
    <vt:lpwstr>eyJoZGlkIjoiZTJlNDBmZDg4NzQzM2UxZWE4MWMzYTNmYjU4NjJhMzkiLCJ1c2VySWQiOiIzODc1NDM2MTYifQ==</vt:lpwstr>
  </property>
</Properties>
</file>