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一、基本概况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（一）负责突发环境污染事故和生态破坏事件的应急调查处 置工作；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（二）建立健全环境风险防范体系，依法及时公布预警信息， 做好突发环境事件应急响应工作；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（三）开展环境风险源调查，督促落实环境风险隐患排查和 治理责任；组织环境污染事故损失评估，配合做好环境修复工作。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伊犁州环境应急保障中心无下属预算单位，下设 0个处室，分别是：无。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（2）2021年伊犁州环境应急保障中心实有在职人员为10人，其中：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事业在职10人（上年10人），与上年一致；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实有退休人员0人（上年0人）,与上年一致。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日常业务开展经费，计划投入140.62万元，主要用于本单位机构正常运转、完成日常工作任务而发生的各项支出。基本支出包含工资福利支出、商品和服务支出、对个人和家庭的补助支出等，其中：工资福利支出主要用于在职人员基本工资、津贴补贴等人员经费。商品和服务支出主要用于办公费、印刷费、水电费、办公设备购置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（2）物资储备库运行，计划投入100万元。主要用于完成聘用人员工资、州直范围内3座环境应急物资储备库的维护、运转及养护工作以及上级部门安排的其他应急保障工作，确保辖区内环境安全。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2021年我单位全年预算数为287.52万元，其中：年初批复的财政拨款为229.82万元，年中追加资金57.70万元，调整率25.11%。对比上年384.93万元减少97.41万元，下降25.31%。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2021年实际决算支出286.83万元，执行率99.76 %，其中：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1）基本支出139.93万元，占总支出的48.79％，主要用于本部门单位机构正常运转、完成日常工作任务而发生的各项支出。其中：工资福利支出129.31万元，主要用于在职人员基本工资、津贴补贴等人员经费。商品和服务支出  10.59万元，主要用于办公费、印刷费、水电费、办公设备购置等。对个人和家庭的补助0.036万元，主要用于独生子女费。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项目支出146.90万元，占总支出的51.22％。其中：2021年伊犁州环境应急与事故调查中心储备库运行，项目安排100万元，主要用于开展调查风险源企业备案、州直范围内重点风险源安全隐患排查，建设环境应急队伍及物资储备库运转、应急演练、保障聘用人员工资社保等各项工作；伊犁州11.10突发环境事件采购环境应急处置物资项目，项目安排资金46.90万元，用于支付2020年11 月购买突发事件活性</w:t>
      </w:r>
      <w:r>
        <w:rPr>
          <w:rFonts w:hint="eastAsia" w:ascii="仿宋_GB2312" w:hAnsi="宋体" w:eastAsia="仿宋_GB2312"/>
          <w:b/>
          <w:sz w:val="32"/>
          <w:szCs w:val="32"/>
          <w:lang w:val="en-US" w:eastAsia="zh-CN"/>
        </w:rPr>
        <w:t>炭</w:t>
      </w:r>
      <w:r>
        <w:rPr>
          <w:rFonts w:hint="eastAsia" w:ascii="仿宋_GB2312" w:hAnsi="宋体" w:eastAsia="仿宋_GB2312"/>
          <w:b/>
          <w:sz w:val="32"/>
          <w:szCs w:val="32"/>
        </w:rPr>
        <w:t>余款。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（3）本年度重点项目支出100万元，重点支出保障率68.07%。其中重点保障项目是2021年伊犁州环境应急与事故调查中心储备库运行。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（4）本年度我单位全年政府采购预算2.7万元,实际用于政府采购金额2.7万元，采购执行率100.00%。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本次我单位整体支出绩效自评采用比较法和因素分析法相结合的方法，主要的原因：一是通过比较法将本年度整体支出具体情况与历年绩效目标进行对比，通过对比总结历年来在整体支出目标设置方面的经验与不足，查找项目实施中产生偏差的原因，以便今后在项目指标设置方面能更好地反映项目执行的目的，同时提高目标值的设置水平，尽量避免目标值过高或过低等不切合实际的情况发生；二是通过因素分析法综合分析影响绩效目标实现、实施效果的内外部因素，提高项目实施、款项回笼、资金支付、票据审核及传递</w:t>
      </w:r>
      <w:r>
        <w:rPr>
          <w:rFonts w:hint="eastAsia" w:ascii="仿宋_GB2312" w:hAnsi="宋体" w:eastAsia="仿宋_GB2312"/>
          <w:b/>
          <w:sz w:val="32"/>
          <w:szCs w:val="32"/>
          <w:lang w:eastAsia="zh-CN"/>
        </w:rPr>
        <w:t>及</w:t>
      </w:r>
      <w:r>
        <w:rPr>
          <w:rFonts w:hint="eastAsia" w:ascii="仿宋_GB2312" w:hAnsi="宋体" w:eastAsia="仿宋_GB2312"/>
          <w:b/>
          <w:sz w:val="32"/>
          <w:szCs w:val="32"/>
        </w:rPr>
        <w:t>与主管培训部门的沟通交流，提高项目执行的工作效率，达到预定的项目目标。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涉及对象：本次评价对象是伊犁州环境应急保障中心所有财政资金支出活动。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①基本支出140.62万元，其中：工资福利支出、商品和服务支出、对个人和家庭的补助支出。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1、211节能环保支出；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2、208社会保障和就业；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3、210医疗卫生与保障支出；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4、221住房保障支出；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②项目支出146.90万元：2021年伊犁州环境应急与事故调查中心储备库运行、伊犁州11.10突发环境事件采购环境应急处置物资项目。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的要求，部门预算及绩效目标在伊犁州政府网站统一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财政局相关规定流程，资金支出按照我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2021年基本支出预算安排140.62万元，实际到位140.62万元,实际支出139.93万元，占总支出的48.78％，其中：工资福利支出129.31万元、商品和服务支出10.59  万元、对个人和家庭的补助0.036万元。主要用于本单位机构正常运转、完成日常工作任务而发生的各项支出。基本支出包含工资福利支出、商品和服务支出、对个人和家庭的补助支出等，其中：工资福利支出主要用于在职人员基本工资、津贴补贴等人员经费。商品和服务支出主要用于办公费、水费、电费、邮电费、取暖费、差旅费、培训费、工会经费、福利费、公务用车运行维护费、其他商品和服务支出等。对个人和家庭的补助主要用于独生子女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2021年基本支出比上年122.97元,增加16.96万元，上升13.79 %，支出增加的主要原因是：2021年系统内人员徐博赵勇两人单位调整，故工资社保增加以及2021年人员整体工资调增。</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2021年一般公共预算“三公”经费数为1.15万元，其中：因公出国（境）费0万元，公务用车购置0万元，公务用车运行费1.15万元，公务接待费0万元。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万元，其中：因公出国（境）费增加0万元，主要原因是我单位本年度与上年度均未安排此项支出；公务用车购置费增加0万元，主要原因是我单位本年度与上年度均未安排此项支出；公务用车运行费增加0万元，主要原因是本年与上年支出一致，未增加；公务接待费增加0万元，主要原因是我单位本年度与上年度均未安排此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2021年预算安排专项资金146.90万元，实际到位146.90万元,到位率100.00％,其中:中央转移支付项目资金0万元，自治区资金0万元，本级安排146.90万元。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2021年专项资金支出146.90万元，占总支出的 51.22 %，其中2021年专项项目支出比上年260万元减少113.10 万元，下降43.50%。支出减少的主要原因是未安排储备库建设用款。其中：2021年伊犁州环境应急与事故调查中心储备库运行项目安排100万元，主要用于完成调查风险源企业备案情况，开展州直范围内重点风险源安全隐患排查、完成聘用人员工资、州直范围内3座环境应急物资储备库的维护、运转及养护工作以及上级部门安排的其他应急保障工作，确保辖区内环境安全；伊犁州11.10突发环境事件采购环境应急处置物资项目安排46.90 万元，主要用于完成支付突发事件活性</w:t>
      </w:r>
      <w:r>
        <w:rPr>
          <w:rFonts w:hint="eastAsia" w:ascii="仿宋_GB2312" w:hAnsi="宋体" w:eastAsia="仿宋_GB2312"/>
          <w:b/>
          <w:sz w:val="32"/>
          <w:szCs w:val="32"/>
          <w:lang w:val="en-US" w:eastAsia="zh-CN"/>
        </w:rPr>
        <w:t>炭</w:t>
      </w:r>
      <w:r>
        <w:rPr>
          <w:rFonts w:hint="eastAsia" w:ascii="仿宋_GB2312" w:hAnsi="宋体" w:eastAsia="仿宋_GB2312"/>
          <w:b/>
          <w:sz w:val="32"/>
          <w:szCs w:val="32"/>
        </w:rPr>
        <w:t>余款。</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自身能力建设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部门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截止12月30日，2021年伊犁州环境应急与事故调查中心储备库运行及伊犁州11.10突发环境事件采购环境应急处置物资项目均按照时间计划保质、保量完成。</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2021年我单位资产总额1405.81万元，其中流动资产  3.46万元（其中其他应收款净额3.46万元），固定资产净值  1402.35万元（其中：土地、房屋及构筑物1373.41万元，占固定资产净值的97.94 %；通用设备12.90万元，占固定资产净值的9.20%；专用设备11.15万元，占固定资产净值的7.95%；家具、用具、装具4.90万元，占固定资产净值的3.49%。</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本年度流动资产3.46万元，比上年减少0.38万元，原因是：本年无财政应返还额度。</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本年度固定资产1517.58 万元，比上年增加 1506.91万元，原因是：本年度根据第三方出具的报告将储备库转入固定资产。</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实际在用固定资产1517.58万元，固定资产利用率100.00%。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2021年度我单位年初预算安排229.82万元，年中调整    57.70万元，截止12月底支出286.83万元，执行率99.76%。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以来，伊犁州环境应急保障中心按照自治区生态环境厅的工作要求和州党委、政府确定的生态环境保护目标任务，切实加强环境风险防控水平和环境应急管理工作能力，坚决打好污染防治攻坚战，为促进经济持续健康发展与社会和谐稳定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1、圆满完成了风险防范与隐患排查工作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开展突发环境事件应急预案修编与备案。2021年伊犁州直应编制预案企业115家（其中，重大风险源2家，较大风险源19家，一般风险源94家），已编制并备案企业108家，未编制或未修订的原因主要为长期停产或已转产。二是环境风险隐患排查治理。2021年1月至11月，共排查企业138家，累计发现环境风险隐患190条，均为一般环境风险隐患，未发现重大环境风险隐患，涉及138家企业的190条环境风险隐患均已整改完毕。三是环境应急值守及应急响应。强化关键节点环境应急值守工作，及时向各县市分局印发重点节点工作提示，严格执行领导带班制度，确保岗位24小时值班、外出报备和事故信息报送制度，加强事故舆情分析和研判，确保事故信息和其他重要信息及时、准确上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2、环境风险隐患排查任务提前完成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根据年初计划2021年12月底前完成环境风险隐患排查任务，2021年11月完成排查工作，共排查企业138家，累计发现环境风险隐患190条，均为一般环境风险隐患，未发现重大环境风险隐患，涉及138家企业的190条环境风险隐患均已整改完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3、以案促建活动成效显著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扎实做好国内案例剖析学习及新源“11·10”事故经验总结。根据生态环境部下发的5起典型突发环境事件案例，我局组织相关工作人员从责任意识、预案管理、应急监测与处置、事故调查与评估、信息报送及发布、队伍物资建设以及应急联动机制等方面进行了重点学习，通过自学与集中学习相结合的方式，实现了集中培训阶段全覆盖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4、建设生态环境保护执法铁军政治标准全面达标，群众满意度高。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强化政治意识。坚持把抓好党员干部学习教育放在首位，坚持政治理论学习制度，深刻把握“两个确立”，努力践行“两个维护”。二是提升业务能力。开展了风险隐患排查、应急预案备案、以案促建、应急能力提升等工作，在日常工作中提高业务能力。三优化作风建设。为抓好干部作风工作，认真开好以案促改和党史学习教育专题组织生活会。开展党风廉政警示教育8次，严格执行中央八项规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应急保障中心财政资金支出的有效性主要体现在我单位各项工作成效上，一是思想基础进一步夯实；二是风险防控能力进一步提升；三是应急装备水平进一步改善；四是突发事件处置能力进一步提高；六是人民群众环境权益保障水平进一步增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了风险防范与隐患排查工作2021年伊犁州直应编制预案企业115家，已编制并备案企业108家，未编制或未修订的原因主要为长期停产或已转产。2021年1月至11月，共排查企业138家，累计发现环境风险隐患190条,涉及138家.建设生态环境保护执法铁军政治标准全面达标，群众满意度高。企业的190条环境风险隐患均已整改完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伊犁州环境应急保障中心部门单位整体绩效目标共设置一级指标3个，二级指标7个，三级指标15个，详细说明如下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指标1：风险源企业备案数量，指标值：&gt;=80家，实际完成值：118家，指标完成率147.50%；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指标2：保障在职人员人数，指标值：=10人，实际完成值：10人，指标完成率100.00%；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指标3：储备库人员数量，指标值：&gt;=7人，实际完成值：7人，指标完成率100.00%。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指标1：工资及公用经费保障率，指标值：=100%，实际完成值：100.00%，指标完成率100.00%；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指标2：风险源企业备案完成率，指标值：=100%，实际完成值：100.00%，指标完成率100.00%；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指标3 ：饮用水水源地、重点工业园区备案率，指标值：=100%，实际完成值：0%，指标完成率0.00%；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指标2：年度风险源企业备案任务完成率，指标值：=100%，实际完成值：100%，指标完成率100.00%；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指标1：人均运转经费，指标值：&lt;=1.16万元，实际完成值：1.06万元，指标完成率91.38%；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指标2：储备库运行经费，指标值：&lt;=37.5万元，实际完成值：34.21万元，指标完成率91.23%；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指标3：储备库人员工资及社保费用，指标值：&lt;=27.48万元，实际完成值：28.71万元，指标完成率0.00%；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指标4：人均支出标准，指标值：&lt;=11.82万元，实际完成值：10.85，指标完成率91.79%；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指标1：确保辖区内环境安全工作，指标值：有效确保，实际完成值：有效确保，指标完成率100.00%；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6、生态效益指标：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指标1：改善环境质量，指标值：有效改善，实际完成值：有效改善，指标完成率100.00%；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指标1：干部职工满意度，指标值&gt;=98%，实际完成值：98.92%，指标完成率100.94%；</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六、存在的主要问题</w:t>
      </w:r>
      <w:r>
        <w:rPr>
          <w:rFonts w:hint="eastAsia" w:ascii="仿宋_GB2312" w:hAnsi="宋体" w:eastAsia="仿宋_GB2312"/>
          <w:b/>
          <w:sz w:val="32"/>
          <w:szCs w:val="32"/>
        </w:rPr>
        <w:br w:type="textWrapping"/>
      </w:r>
      <w:r>
        <w:rPr>
          <w:rFonts w:hint="eastAsia" w:ascii="仿宋_GB2312" w:hAnsi="宋体" w:eastAsia="仿宋_GB2312"/>
          <w:b/>
          <w:sz w:val="32"/>
          <w:szCs w:val="32"/>
        </w:rPr>
        <w:t>在编制项目支出绩效工作过程中，预算编制工作有待细化，指标体系设置中部分指标不能较好地反映实际工作情况，主要的原因是设置指标时缺乏与业务科室的深度沟通和交流，指标设置仅停留在资金使用层面，与业务层面的融合程度不够。在资金管理方面，项目资金使用的灵活度不高，审批流程严格，因此，资金使用效益有待于进一步提高。</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进一步细化收支项目，按项目、按时间、按进度支付基建项目资金，提高资金的使用效益。</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1.继续加强《预算法》及《预算法实施条例》的宣传、学习贯彻力度。</w:t>
      </w:r>
      <w:r>
        <w:rPr>
          <w:rFonts w:hint="eastAsia" w:ascii="仿宋_GB2312" w:hAnsi="宋体" w:eastAsia="仿宋_GB2312"/>
          <w:b/>
          <w:sz w:val="32"/>
          <w:szCs w:val="32"/>
        </w:rPr>
        <w:br w:type="textWrapping"/>
      </w:r>
      <w:r>
        <w:rPr>
          <w:rFonts w:hint="eastAsia" w:ascii="仿宋_GB2312" w:hAnsi="宋体" w:eastAsia="仿宋_GB2312"/>
          <w:b/>
          <w:sz w:val="32"/>
          <w:szCs w:val="32"/>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r>
        <w:rPr>
          <w:rFonts w:hint="eastAsia" w:ascii="仿宋_GB2312" w:hAnsi="宋体" w:eastAsia="仿宋_GB2312"/>
          <w:b/>
          <w:sz w:val="32"/>
          <w:szCs w:val="32"/>
        </w:rPr>
        <w:br w:type="textWrapping"/>
      </w:r>
      <w:r>
        <w:rPr>
          <w:rFonts w:hint="eastAsia" w:ascii="仿宋_GB2312" w:hAnsi="宋体" w:eastAsia="仿宋_GB2312"/>
          <w:b/>
          <w:sz w:val="32"/>
          <w:szCs w:val="32"/>
        </w:rPr>
        <w:t>　　3.选取切实可行、操作性较强的考核指标，建立考核指标的标准模板。</w:t>
      </w:r>
      <w:r>
        <w:rPr>
          <w:rFonts w:hint="eastAsia" w:ascii="仿宋_GB2312" w:hAnsi="宋体" w:eastAsia="仿宋_GB2312"/>
          <w:b/>
          <w:sz w:val="32"/>
          <w:szCs w:val="32"/>
        </w:rPr>
        <w:br w:type="textWrapping"/>
      </w:r>
      <w:r>
        <w:rPr>
          <w:rFonts w:hint="eastAsia" w:ascii="仿宋_GB2312" w:hAnsi="宋体" w:eastAsia="仿宋_GB2312"/>
          <w:b/>
          <w:sz w:val="32"/>
          <w:szCs w:val="32"/>
        </w:rPr>
        <w:t>　　4.加强资金使用部门对绩效评价工作的认识和重视程度，并将评价结果运用于工作始终。</w:t>
      </w:r>
      <w:r>
        <w:rPr>
          <w:rFonts w:hint="eastAsia" w:ascii="仿宋_GB2312" w:hAnsi="宋体" w:eastAsia="仿宋_GB2312"/>
          <w:b/>
          <w:sz w:val="32"/>
          <w:szCs w:val="32"/>
        </w:rPr>
        <w:br w:type="textWrapping"/>
      </w:r>
      <w:r>
        <w:rPr>
          <w:rFonts w:hint="eastAsia" w:ascii="仿宋_GB2312" w:hAnsi="宋体" w:eastAsia="仿宋_GB2312"/>
          <w:b/>
          <w:sz w:val="32"/>
          <w:szCs w:val="32"/>
        </w:rPr>
        <w:t>　　5.同时做好项目实施管理与资金使用的匹配，根据项目实施计划，制定出科学合理的资金计划，不断提高资金使用效率。</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41950C9C"/>
    <w:rsid w:val="50EE5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7162</Words>
  <Characters>7819</Characters>
  <Lines>2</Lines>
  <Paragraphs>1</Paragraphs>
  <TotalTime>12</TotalTime>
  <ScaleCrop>false</ScaleCrop>
  <LinksUpToDate>false</LinksUpToDate>
  <CharactersWithSpaces>7937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2025-05-20T03:29:37Z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9325F3C0E93C4D52B0F126F0CE5BE944_12</vt:lpwstr>
  </property>
</Properties>
</file>