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ACD42EA">
      <w:pPr>
        <w:widowControl/>
        <w:jc w:val="left"/>
        <w:rPr>
          <w:rFonts w:ascii="黑体" w:hAnsi="黑体" w:eastAsia="黑体" w:cs="宋体"/>
          <w:color w:val="333333"/>
          <w:sz w:val="32"/>
          <w:szCs w:val="32"/>
          <w:lang w:bidi="ar"/>
        </w:rPr>
      </w:pPr>
      <w:bookmarkStart w:id="1" w:name="_GoBack"/>
      <w:bookmarkEnd w:id="1"/>
      <w:r>
        <w:rPr>
          <w:rFonts w:hint="eastAsia" w:ascii="黑体" w:hAnsi="黑体" w:eastAsia="黑体" w:cs="宋体"/>
          <w:color w:val="333333"/>
          <w:sz w:val="32"/>
          <w:szCs w:val="32"/>
          <w:lang w:bidi="ar"/>
        </w:rPr>
        <w:t>附件4：</w:t>
      </w:r>
    </w:p>
    <w:p w14:paraId="3F419247">
      <w:pPr>
        <w:spacing w:line="540" w:lineRule="exact"/>
        <w:jc w:val="center"/>
        <w:rPr>
          <w:rFonts w:ascii="方正小标宋_GBK" w:hAnsi="华文中宋" w:eastAsia="方正小标宋_GBK" w:cs="宋体"/>
          <w:b/>
          <w:kern w:val="0"/>
          <w:sz w:val="48"/>
          <w:szCs w:val="48"/>
        </w:rPr>
      </w:pPr>
    </w:p>
    <w:p w14:paraId="20FDF142">
      <w:pPr>
        <w:spacing w:line="540" w:lineRule="exact"/>
        <w:jc w:val="center"/>
        <w:rPr>
          <w:rFonts w:ascii="方正小标宋_GBK" w:hAnsi="华文中宋" w:eastAsia="方正小标宋_GBK" w:cs="宋体"/>
          <w:b/>
          <w:kern w:val="0"/>
          <w:sz w:val="48"/>
          <w:szCs w:val="48"/>
        </w:rPr>
      </w:pPr>
    </w:p>
    <w:p w14:paraId="76C15B73">
      <w:pPr>
        <w:spacing w:line="540" w:lineRule="exact"/>
        <w:jc w:val="center"/>
        <w:rPr>
          <w:rFonts w:ascii="方正小标宋_GBK" w:hAnsi="华文中宋" w:eastAsia="方正小标宋_GBK" w:cs="宋体"/>
          <w:b/>
          <w:kern w:val="0"/>
          <w:sz w:val="48"/>
          <w:szCs w:val="48"/>
        </w:rPr>
      </w:pPr>
    </w:p>
    <w:p w14:paraId="607DAD90">
      <w:pPr>
        <w:spacing w:line="540" w:lineRule="exact"/>
        <w:jc w:val="center"/>
        <w:rPr>
          <w:rFonts w:ascii="方正小标宋_GBK" w:hAnsi="华文中宋" w:eastAsia="方正小标宋_GBK" w:cs="宋体"/>
          <w:b/>
          <w:kern w:val="0"/>
          <w:sz w:val="48"/>
          <w:szCs w:val="48"/>
        </w:rPr>
      </w:pPr>
    </w:p>
    <w:p w14:paraId="674990BE">
      <w:pPr>
        <w:spacing w:line="540" w:lineRule="exact"/>
        <w:jc w:val="center"/>
        <w:rPr>
          <w:rFonts w:ascii="方正小标宋_GBK" w:hAnsi="华文中宋" w:eastAsia="方正小标宋_GBK" w:cs="宋体"/>
          <w:b/>
          <w:kern w:val="0"/>
          <w:sz w:val="48"/>
          <w:szCs w:val="48"/>
        </w:rPr>
      </w:pPr>
    </w:p>
    <w:p w14:paraId="7590AF57">
      <w:pPr>
        <w:spacing w:line="540" w:lineRule="exact"/>
        <w:jc w:val="center"/>
        <w:rPr>
          <w:rFonts w:ascii="方正小标宋_GBK" w:hAnsi="华文中宋" w:eastAsia="方正小标宋_GBK" w:cs="宋体"/>
          <w:b/>
          <w:kern w:val="0"/>
          <w:sz w:val="48"/>
          <w:szCs w:val="48"/>
        </w:rPr>
      </w:pPr>
    </w:p>
    <w:p w14:paraId="74F55862">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自治区本级部门单位整体支出绩效</w:t>
      </w:r>
    </w:p>
    <w:p w14:paraId="410A9716">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自评报告</w:t>
      </w:r>
    </w:p>
    <w:p w14:paraId="76C51390">
      <w:pPr>
        <w:spacing w:line="540" w:lineRule="exact"/>
        <w:jc w:val="center"/>
        <w:rPr>
          <w:rFonts w:ascii="华文中宋" w:hAnsi="华文中宋" w:eastAsia="华文中宋" w:cs="宋体"/>
          <w:b/>
          <w:kern w:val="0"/>
          <w:sz w:val="52"/>
          <w:szCs w:val="52"/>
        </w:rPr>
      </w:pPr>
    </w:p>
    <w:p w14:paraId="5CDA2210">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int="eastAsia" w:ascii="仿宋_GB2312" w:hAnsi="宋体" w:eastAsia="仿宋_GB2312"/>
          <w:b/>
          <w:sz w:val="32"/>
          <w:szCs w:val="32"/>
        </w:rPr>
        <w:t>2021</w:t>
      </w:r>
      <w:r>
        <w:rPr>
          <w:rFonts w:hint="eastAsia" w:hAnsi="宋体" w:eastAsia="仿宋_GB2312" w:cs="宋体"/>
          <w:kern w:val="0"/>
          <w:sz w:val="36"/>
          <w:szCs w:val="36"/>
        </w:rPr>
        <w:t>年度）</w:t>
      </w:r>
    </w:p>
    <w:p w14:paraId="6D105A3D">
      <w:pPr>
        <w:spacing w:line="540" w:lineRule="exact"/>
        <w:jc w:val="center"/>
        <w:rPr>
          <w:rFonts w:hAnsi="宋体" w:eastAsia="仿宋_GB2312" w:cs="宋体"/>
          <w:kern w:val="0"/>
          <w:sz w:val="30"/>
          <w:szCs w:val="30"/>
        </w:rPr>
      </w:pPr>
    </w:p>
    <w:p w14:paraId="2E0F07BA">
      <w:pPr>
        <w:spacing w:line="540" w:lineRule="exact"/>
        <w:jc w:val="center"/>
        <w:rPr>
          <w:rFonts w:hAnsi="宋体" w:eastAsia="仿宋_GB2312" w:cs="宋体"/>
          <w:kern w:val="0"/>
          <w:sz w:val="30"/>
          <w:szCs w:val="30"/>
        </w:rPr>
      </w:pPr>
    </w:p>
    <w:p w14:paraId="5B847928">
      <w:pPr>
        <w:spacing w:line="540" w:lineRule="exact"/>
        <w:jc w:val="center"/>
        <w:rPr>
          <w:rFonts w:ascii="方正小标宋_GBK" w:hAnsi="宋体" w:eastAsia="方正小标宋_GBK" w:cs="宋体"/>
          <w:kern w:val="0"/>
          <w:sz w:val="36"/>
          <w:szCs w:val="36"/>
        </w:rPr>
      </w:pPr>
      <w:r>
        <w:rPr>
          <w:rFonts w:hint="eastAsia" w:ascii="方正小标宋_GBK" w:hAnsi="宋体" w:eastAsia="方正小标宋_GBK" w:cs="宋体"/>
          <w:kern w:val="0"/>
          <w:sz w:val="36"/>
          <w:szCs w:val="36"/>
        </w:rPr>
        <w:t>参考模板</w:t>
      </w:r>
    </w:p>
    <w:p w14:paraId="2E746997">
      <w:pPr>
        <w:spacing w:line="540" w:lineRule="exact"/>
        <w:jc w:val="center"/>
        <w:rPr>
          <w:rFonts w:hAnsi="宋体" w:eastAsia="仿宋_GB2312" w:cs="宋体"/>
          <w:kern w:val="0"/>
          <w:sz w:val="30"/>
          <w:szCs w:val="30"/>
        </w:rPr>
      </w:pPr>
    </w:p>
    <w:p w14:paraId="34060A4A">
      <w:pPr>
        <w:spacing w:line="540" w:lineRule="exact"/>
        <w:jc w:val="center"/>
        <w:rPr>
          <w:rFonts w:hAnsi="宋体" w:eastAsia="仿宋_GB2312" w:cs="宋体"/>
          <w:kern w:val="0"/>
          <w:sz w:val="30"/>
          <w:szCs w:val="30"/>
        </w:rPr>
      </w:pPr>
    </w:p>
    <w:p w14:paraId="665DDFAA">
      <w:pPr>
        <w:spacing w:line="540" w:lineRule="exact"/>
        <w:jc w:val="center"/>
        <w:rPr>
          <w:rFonts w:hAnsi="宋体" w:eastAsia="仿宋_GB2312" w:cs="宋体"/>
          <w:kern w:val="0"/>
          <w:sz w:val="30"/>
          <w:szCs w:val="30"/>
        </w:rPr>
      </w:pPr>
    </w:p>
    <w:p w14:paraId="53D644F4">
      <w:pPr>
        <w:spacing w:line="540" w:lineRule="exact"/>
        <w:rPr>
          <w:rFonts w:hAnsi="宋体" w:eastAsia="仿宋_GB2312" w:cs="宋体"/>
          <w:kern w:val="0"/>
          <w:sz w:val="30"/>
          <w:szCs w:val="30"/>
        </w:rPr>
      </w:pPr>
    </w:p>
    <w:p w14:paraId="38398E7D">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14:paraId="1013626B">
      <w:pPr>
        <w:spacing w:line="700" w:lineRule="exact"/>
        <w:ind w:firstLine="849" w:firstLineChars="236"/>
        <w:jc w:val="left"/>
        <w:rPr>
          <w:rFonts w:hAnsi="宋体" w:eastAsia="仿宋_GB2312" w:cs="宋体"/>
          <w:kern w:val="0"/>
          <w:sz w:val="36"/>
          <w:szCs w:val="36"/>
        </w:rPr>
      </w:pPr>
      <w:r>
        <w:rPr>
          <w:rFonts w:hint="eastAsia" w:hAnsi="宋体" w:eastAsia="仿宋_GB2312" w:cs="宋体"/>
          <w:kern w:val="0"/>
          <w:sz w:val="36"/>
          <w:szCs w:val="36"/>
        </w:rPr>
        <w:t>部门单位名称（公章）：</w:t>
      </w:r>
    </w:p>
    <w:p w14:paraId="52CE7A5B">
      <w:pPr>
        <w:spacing w:line="700" w:lineRule="exact"/>
        <w:ind w:firstLine="849" w:firstLineChars="236"/>
        <w:jc w:val="left"/>
        <w:rPr>
          <w:rFonts w:hAnsi="宋体" w:eastAsia="仿宋_GB2312" w:cs="宋体"/>
          <w:kern w:val="0"/>
          <w:sz w:val="36"/>
          <w:szCs w:val="36"/>
        </w:rPr>
      </w:pPr>
      <w:r>
        <w:rPr>
          <w:rFonts w:hint="eastAsia" w:hAnsi="宋体" w:eastAsia="仿宋_GB2312" w:cs="宋体"/>
          <w:kern w:val="0"/>
          <w:sz w:val="36"/>
          <w:szCs w:val="36"/>
        </w:rPr>
        <w:t>填报时间：     年     月     日</w:t>
      </w:r>
    </w:p>
    <w:p w14:paraId="3020072C">
      <w:pPr>
        <w:spacing w:line="700" w:lineRule="exact"/>
        <w:jc w:val="left"/>
        <w:rPr>
          <w:rFonts w:hAnsi="宋体" w:eastAsia="仿宋_GB2312" w:cs="宋体"/>
          <w:kern w:val="0"/>
          <w:sz w:val="36"/>
          <w:szCs w:val="36"/>
        </w:rPr>
      </w:pPr>
    </w:p>
    <w:p w14:paraId="4799D532">
      <w:pPr>
        <w:spacing w:line="700" w:lineRule="exact"/>
        <w:jc w:val="left"/>
        <w:rPr>
          <w:rFonts w:hAnsi="宋体" w:eastAsia="仿宋_GB2312" w:cs="宋体"/>
          <w:kern w:val="0"/>
          <w:sz w:val="36"/>
          <w:szCs w:val="36"/>
        </w:rPr>
      </w:pPr>
    </w:p>
    <w:p w14:paraId="2DABA381">
      <w:pPr>
        <w:spacing w:line="700" w:lineRule="exact"/>
        <w:jc w:val="left"/>
        <w:rPr>
          <w:rFonts w:hAnsi="宋体" w:eastAsia="仿宋_GB2312" w:cs="宋体"/>
          <w:kern w:val="0"/>
          <w:sz w:val="36"/>
          <w:szCs w:val="36"/>
        </w:rPr>
      </w:pPr>
    </w:p>
    <w:p w14:paraId="26630C99">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基本概况</w:t>
      </w:r>
    </w:p>
    <w:p w14:paraId="31796802">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（一）部门单位基本情况</w:t>
      </w:r>
      <w:r>
        <w:rPr>
          <w:rFonts w:hint="eastAsia" w:ascii="仿宋_GB2312" w:hAnsi="宋体" w:eastAsia="仿宋_GB2312"/>
          <w:b/>
          <w:sz w:val="32"/>
          <w:szCs w:val="32"/>
        </w:rPr>
        <w:cr/>
      </w:r>
    </w:p>
    <w:p w14:paraId="7D99A6E3">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1、主要职能</w:t>
      </w:r>
      <w:r>
        <w:rPr>
          <w:rFonts w:hint="eastAsia" w:ascii="仿宋_GB2312" w:hAnsi="宋体" w:eastAsia="仿宋_GB2312"/>
          <w:b/>
          <w:sz w:val="32"/>
          <w:szCs w:val="32"/>
        </w:rPr>
        <w:cr/>
      </w:r>
    </w:p>
    <w:p w14:paraId="5404DE76">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一)贯彻执行国家工业和信息化的法律法规和方针政策以及自治区工业和信息化发展的综合性法规、规章、政策，提出自治州工业和信息化发展的政策建议，并组织实施和监督检查。推进信息化和工业化融合发展。</w:t>
      </w:r>
      <w:r>
        <w:rPr>
          <w:rFonts w:hint="eastAsia" w:ascii="仿宋_GB2312" w:hAnsi="宋体" w:eastAsia="仿宋_GB2312"/>
          <w:b/>
          <w:sz w:val="32"/>
          <w:szCs w:val="32"/>
        </w:rPr>
        <w:cr/>
      </w:r>
    </w:p>
    <w:p w14:paraId="1D60F1FB">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(二)拟订工业和信息化发展规划。根据国家、自治区产业政策，拟订产业政策并组织实施。指导产业合理布局和结构调整。组织协调重点产业调整和高质量发展规划的拟订与实施。</w:t>
      </w:r>
      <w:r>
        <w:rPr>
          <w:rFonts w:hint="eastAsia" w:ascii="仿宋_GB2312" w:hAnsi="宋体" w:eastAsia="仿宋_GB2312"/>
          <w:b/>
          <w:sz w:val="32"/>
          <w:szCs w:val="32"/>
        </w:rPr>
        <w:cr/>
      </w:r>
    </w:p>
    <w:p w14:paraId="3DA5E667">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三)监测分析工业经济运行态势，调节工业经济运行。拟订工业经济运行调控目标、政策措施。统计并发布相关信息，进行预测预警和信息引导。协调解决工业经济运行中的重大问题并提出政策建议。负责协调油地关系。贯彻落实国家、自治区关于现代物流业发展的相关政策措施。负责工业经济运行和产业安全有关工作。</w:t>
      </w:r>
      <w:r>
        <w:rPr>
          <w:rFonts w:hint="eastAsia" w:ascii="仿宋_GB2312" w:hAnsi="宋体" w:eastAsia="仿宋_GB2312"/>
          <w:b/>
          <w:sz w:val="32"/>
          <w:szCs w:val="32"/>
        </w:rPr>
        <w:cr/>
      </w:r>
    </w:p>
    <w:p w14:paraId="425D1031">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四)贯彻落实自治区行业专项规划、行业法规、技术规范和标准，负责工业和信息化领域各行业的管理。负责盐业行业管理。负责园区建设管理综合协调工作。负责煤电煤化工产业发展工作。负责冶金、有色金属、黄金、稀土、轻工、纺织、机电、建材等行业管理。</w:t>
      </w:r>
      <w:r>
        <w:rPr>
          <w:rFonts w:hint="eastAsia" w:ascii="仿宋_GB2312" w:hAnsi="宋体" w:eastAsia="仿宋_GB2312"/>
          <w:b/>
          <w:sz w:val="32"/>
          <w:szCs w:val="32"/>
        </w:rPr>
        <w:cr/>
      </w:r>
    </w:p>
    <w:p w14:paraId="3EB0C70F">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五)负责工业和信息产业及信息化建设的技术改造投资管理。贯彻自治区技术改造投资的有关政策措施，并拟定技术改造投资的有关配套政策措施。研究和规划技术改造项目投资方向和布局，负责权限内技术改造投资项目审核上报、备案。</w:t>
      </w:r>
      <w:r>
        <w:rPr>
          <w:rFonts w:hint="eastAsia" w:ascii="仿宋_GB2312" w:hAnsi="宋体" w:eastAsia="仿宋_GB2312"/>
          <w:b/>
          <w:sz w:val="32"/>
          <w:szCs w:val="32"/>
        </w:rPr>
        <w:cr/>
      </w:r>
    </w:p>
    <w:p w14:paraId="5E1B8EC4">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六)贯彻自治区工业和信息化领域技术创新政策措施。培育和发展战略性新兴产业。贯彻自治区装备工业发展规划及政策措施。负责推进装备制造产业发展工作。指导工业和信息化领域对外经济技术合作、交流及招商引资工作。</w:t>
      </w:r>
      <w:r>
        <w:rPr>
          <w:rFonts w:hint="eastAsia" w:ascii="仿宋_GB2312" w:hAnsi="宋体" w:eastAsia="仿宋_GB2312"/>
          <w:b/>
          <w:sz w:val="32"/>
          <w:szCs w:val="32"/>
        </w:rPr>
        <w:cr/>
      </w:r>
    </w:p>
    <w:p w14:paraId="26F8DEEA">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七)指导工业和信息化领域体制改革和管理创新。拟订促进中小企业发展的相关政策措施，负责对中小企业的宏观指导和服务，指导中小企业改革与发展，建立健全服务体系。负责工业和信息化领域人员的培训。负责组织协调减轻企业负担工作。</w:t>
      </w:r>
      <w:r>
        <w:rPr>
          <w:rFonts w:hint="eastAsia" w:ascii="仿宋_GB2312" w:hAnsi="宋体" w:eastAsia="仿宋_GB2312"/>
          <w:b/>
          <w:sz w:val="32"/>
          <w:szCs w:val="32"/>
        </w:rPr>
        <w:cr/>
      </w:r>
    </w:p>
    <w:p w14:paraId="64BFAA9E">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八)贯彻落实自治区工业和信息化领域资源节约和综合利用规划、政策。指导工业节能减排综合协调和监督管理工作，负责工业节能执法工作。指导工业和信息化领域循环经济发展。协调工业和信息化领域清洁生产和节能环保产业发展工作。</w:t>
      </w:r>
      <w:r>
        <w:rPr>
          <w:rFonts w:hint="eastAsia" w:ascii="仿宋_GB2312" w:hAnsi="宋体" w:eastAsia="仿宋_GB2312"/>
          <w:b/>
          <w:sz w:val="32"/>
          <w:szCs w:val="32"/>
        </w:rPr>
        <w:cr/>
      </w:r>
    </w:p>
    <w:p w14:paraId="532DFBF7">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(九)负责民爆行业管理。对民用爆炸物品生产、销售依法实施监督管理。指导监督工业领域安全生产工作。</w:t>
      </w:r>
      <w:r>
        <w:rPr>
          <w:rFonts w:hint="eastAsia" w:ascii="仿宋_GB2312" w:hAnsi="宋体" w:eastAsia="仿宋_GB2312"/>
          <w:b/>
          <w:sz w:val="32"/>
          <w:szCs w:val="32"/>
        </w:rPr>
        <w:cr/>
      </w:r>
    </w:p>
    <w:p w14:paraId="4693A29E">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(十)组织执行国家电力行业技术规范和标准。负责权限范围内的电力行政执法、监督和行政许可。负责制定年度电力行业运行调控目标。组织协调解决电力生产、运营和供应中的重大问题。指导电力调度工作。</w:t>
      </w:r>
      <w:r>
        <w:rPr>
          <w:rFonts w:hint="eastAsia" w:ascii="仿宋_GB2312" w:hAnsi="宋体" w:eastAsia="仿宋_GB2312"/>
          <w:b/>
          <w:sz w:val="32"/>
          <w:szCs w:val="32"/>
        </w:rPr>
        <w:cr/>
      </w:r>
    </w:p>
    <w:p w14:paraId="1E38D5EE">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(十一)负责推进信息化工作。指导协调经济社会各领域信息技术的推广应用工作。推进跨行业、跨部门面向社会公共服务的互联互通及重要信息资源开发利用和共享。统筹指导工业信息安全管理工作。</w:t>
      </w:r>
      <w:r>
        <w:rPr>
          <w:rFonts w:hint="eastAsia" w:ascii="仿宋_GB2312" w:hAnsi="宋体" w:eastAsia="仿宋_GB2312"/>
          <w:b/>
          <w:sz w:val="32"/>
          <w:szCs w:val="32"/>
        </w:rPr>
        <w:cr/>
      </w:r>
    </w:p>
    <w:p w14:paraId="2002B1B3">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(十二)指导电子信息产业的发展。指导电子信息产品制造业、软件业、信息服务业发展。指导电子信息产业基地建设。协调电子信息产业重大专项实施。</w:t>
      </w:r>
      <w:r>
        <w:rPr>
          <w:rFonts w:hint="eastAsia" w:ascii="仿宋_GB2312" w:hAnsi="宋体" w:eastAsia="仿宋_GB2312"/>
          <w:b/>
          <w:sz w:val="32"/>
          <w:szCs w:val="32"/>
        </w:rPr>
        <w:cr/>
      </w:r>
    </w:p>
    <w:p w14:paraId="47105966">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(十三)完成自治州党委、自治州人民政府交办的其他任务。</w:t>
      </w:r>
      <w:r>
        <w:rPr>
          <w:rFonts w:hint="eastAsia" w:ascii="仿宋_GB2312" w:hAnsi="宋体" w:eastAsia="仿宋_GB2312"/>
          <w:b/>
          <w:sz w:val="32"/>
          <w:szCs w:val="32"/>
        </w:rPr>
        <w:cr/>
      </w:r>
    </w:p>
    <w:p w14:paraId="6D628115">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2、机构人员构成</w:t>
      </w:r>
      <w:r>
        <w:rPr>
          <w:rFonts w:hint="eastAsia" w:ascii="仿宋_GB2312" w:hAnsi="宋体" w:eastAsia="仿宋_GB2312"/>
          <w:b/>
          <w:sz w:val="32"/>
          <w:szCs w:val="32"/>
        </w:rPr>
        <w:cr/>
      </w:r>
    </w:p>
    <w:p w14:paraId="559A9F04">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（1）组织机构设置：</w:t>
      </w:r>
      <w:r>
        <w:rPr>
          <w:rFonts w:hint="eastAsia" w:ascii="仿宋_GB2312" w:hAnsi="宋体" w:eastAsia="仿宋_GB2312"/>
          <w:b/>
          <w:sz w:val="32"/>
          <w:szCs w:val="32"/>
        </w:rPr>
        <w:cr/>
      </w:r>
    </w:p>
    <w:p w14:paraId="349312FD">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伊犁州工业和信息化局无下属预算单位，下设11个处室，分别是：办公室、产业发展与科技规划投资处、经济运行处、园区管理处、企业处、信息安全与信息化推进处、信息产业处、能源管理与资源利用处、消费品工业发展处、招商协作发展处、人事教育处(离退休干部工作处）。</w:t>
      </w:r>
      <w:r>
        <w:rPr>
          <w:rFonts w:hint="eastAsia" w:ascii="仿宋_GB2312" w:hAnsi="宋体" w:eastAsia="仿宋_GB2312"/>
          <w:b/>
          <w:sz w:val="32"/>
          <w:szCs w:val="32"/>
        </w:rPr>
        <w:cr/>
      </w:r>
    </w:p>
    <w:p w14:paraId="6E764F30">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（2）2021年伊犁州工业和信息化局实有在职人员为49人，其中：</w:t>
      </w:r>
      <w:r>
        <w:rPr>
          <w:rFonts w:hint="eastAsia" w:ascii="仿宋_GB2312" w:hAnsi="宋体" w:eastAsia="仿宋_GB2312"/>
          <w:b/>
          <w:sz w:val="32"/>
          <w:szCs w:val="32"/>
        </w:rPr>
        <w:cr/>
      </w:r>
    </w:p>
    <w:p w14:paraId="500C909F">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行政在职49人（上年46人），同比上年增加3人，其中调入5人，退休1人，其他减少1人；</w:t>
      </w:r>
      <w:r>
        <w:rPr>
          <w:rFonts w:hint="eastAsia" w:ascii="仿宋_GB2312" w:hAnsi="宋体" w:eastAsia="仿宋_GB2312"/>
          <w:b/>
          <w:sz w:val="32"/>
          <w:szCs w:val="32"/>
        </w:rPr>
        <w:cr/>
      </w:r>
    </w:p>
    <w:p w14:paraId="199C3DE8">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实有离休人员4人（上年6人）, 同比上年减少2人，其中：死亡2人。</w:t>
      </w:r>
      <w:r>
        <w:rPr>
          <w:rFonts w:hint="eastAsia" w:ascii="仿宋_GB2312" w:hAnsi="宋体" w:eastAsia="仿宋_GB2312"/>
          <w:b/>
          <w:sz w:val="32"/>
          <w:szCs w:val="32"/>
        </w:rPr>
        <w:cr/>
      </w:r>
    </w:p>
    <w:p w14:paraId="0BA22C1E">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实有退休人员142人（上年146人）, 同比上年减少3人，其中：死亡5人，退休1人。</w:t>
      </w:r>
      <w:r>
        <w:rPr>
          <w:rFonts w:hint="eastAsia" w:ascii="仿宋_GB2312" w:hAnsi="宋体" w:eastAsia="仿宋_GB2312"/>
          <w:b/>
          <w:sz w:val="32"/>
          <w:szCs w:val="32"/>
        </w:rPr>
        <w:cr/>
      </w:r>
    </w:p>
    <w:p w14:paraId="203D334A">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3、重点工作计划</w:t>
      </w:r>
      <w:r>
        <w:rPr>
          <w:rFonts w:hint="eastAsia" w:ascii="仿宋_GB2312" w:hAnsi="宋体" w:eastAsia="仿宋_GB2312"/>
          <w:b/>
          <w:sz w:val="32"/>
          <w:szCs w:val="32"/>
        </w:rPr>
        <w:cr/>
      </w:r>
    </w:p>
    <w:p w14:paraId="64F476F4">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 xml:space="preserve">（1）负责监测、分析自治州工业经济运行态势、调节工业经济运行。负责园区建设管理综合协调工作。负责协调推进纺织服装产业带动就业工作。负责工业企业节能降耗监督管理工作。负责工业企业招商引资工作。2021年力争州直完成规模以上工业增加值190亿元，增长17.5%；完成工业性固定资产投资116亿元，增长30%以上；基础设施投资238亿元，园区实现产值600亿元，增长25%；纺织服装产业项目实现产值40亿元以上，新增规模以上工业企业35以上，带动就业人数4.5万人。                                                                                                                              </w:t>
      </w:r>
      <w:r>
        <w:rPr>
          <w:rFonts w:hint="eastAsia" w:ascii="仿宋_GB2312" w:hAnsi="宋体" w:eastAsia="仿宋_GB2312"/>
          <w:b/>
          <w:sz w:val="32"/>
          <w:szCs w:val="32"/>
        </w:rPr>
        <w:cr/>
      </w:r>
    </w:p>
    <w:p w14:paraId="1A54063C">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（2）保障部门单位人员发放工资福利支出及运转支出。</w:t>
      </w:r>
      <w:r>
        <w:rPr>
          <w:rFonts w:hint="eastAsia" w:ascii="仿宋_GB2312" w:hAnsi="宋体" w:eastAsia="仿宋_GB2312"/>
          <w:b/>
          <w:sz w:val="32"/>
          <w:szCs w:val="32"/>
        </w:rPr>
        <w:cr/>
      </w:r>
    </w:p>
    <w:p w14:paraId="0E0500EF">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（3）2021年伊犁州产业园区规划编制项目，计划投入80万元，要完成《伊犁州直产业布局与新型工业化发展“十四五”规划》和《伊犁州直产业园区高质量发展“十四五”规划》编制，并通过专家组验收。。</w:t>
      </w:r>
      <w:r>
        <w:rPr>
          <w:rFonts w:hint="eastAsia" w:ascii="仿宋_GB2312" w:hAnsi="宋体" w:eastAsia="仿宋_GB2312"/>
          <w:b/>
          <w:sz w:val="32"/>
          <w:szCs w:val="32"/>
        </w:rPr>
        <w:cr/>
      </w:r>
    </w:p>
    <w:p w14:paraId="22F131A6">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（二）部门单位整体支出规模、使用方法和主要内容、涉及对象及范围等</w:t>
      </w:r>
      <w:r>
        <w:rPr>
          <w:rFonts w:hint="eastAsia" w:ascii="仿宋_GB2312" w:hAnsi="宋体" w:eastAsia="仿宋_GB2312"/>
          <w:b/>
          <w:sz w:val="32"/>
          <w:szCs w:val="32"/>
        </w:rPr>
        <w:cr/>
      </w:r>
    </w:p>
    <w:p w14:paraId="3F133A4C">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1、部门单位整体支出规模</w:t>
      </w:r>
      <w:r>
        <w:rPr>
          <w:rFonts w:hint="eastAsia" w:ascii="仿宋_GB2312" w:hAnsi="宋体" w:eastAsia="仿宋_GB2312"/>
          <w:b/>
          <w:sz w:val="32"/>
          <w:szCs w:val="32"/>
        </w:rPr>
        <w:cr/>
      </w:r>
    </w:p>
    <w:p w14:paraId="22577C8E">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2021年我单位全年预算为1356.79万元，其中：年初批复的财政拨款为866.60万元，年中追加资金490.19万元，调整率56.56%。对比上年1194.90万元增加161.89万元，上升13.55%。</w:t>
      </w:r>
      <w:r>
        <w:rPr>
          <w:rFonts w:hint="eastAsia" w:ascii="仿宋_GB2312" w:hAnsi="宋体" w:eastAsia="仿宋_GB2312"/>
          <w:b/>
          <w:sz w:val="32"/>
          <w:szCs w:val="32"/>
        </w:rPr>
        <w:cr/>
      </w:r>
    </w:p>
    <w:p w14:paraId="4C9FE62F">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2021年实际决算支出1331.51万元，执行率98.14%，其中：</w:t>
      </w:r>
      <w:r>
        <w:rPr>
          <w:rFonts w:hint="eastAsia" w:ascii="仿宋_GB2312" w:hAnsi="宋体" w:eastAsia="仿宋_GB2312"/>
          <w:b/>
          <w:sz w:val="32"/>
          <w:szCs w:val="32"/>
        </w:rPr>
        <w:cr/>
      </w:r>
    </w:p>
    <w:p w14:paraId="47D3F655">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 xml:space="preserve">（1）基本支出982.55万元，占总支出的73.79％，主要用于单位机构正常运转、完成日常工作任务而发生的各项支出。其中：工资福利支出753.49万元，主要用于在职和离退休人员基本工资、津贴补贴等人员经费。商品和服务支出94.53万元，主要用于办公费、印刷费、水电费、办公设备购置等。对个人和家庭的补助134.53万元，主要用于离休人员工资、退休人员统筹外退休费，死亡人员抚恤金和其他对个人和家庭的补助等。  </w:t>
      </w:r>
      <w:r>
        <w:rPr>
          <w:rFonts w:hint="eastAsia" w:ascii="仿宋_GB2312" w:hAnsi="宋体" w:eastAsia="仿宋_GB2312"/>
          <w:b/>
          <w:sz w:val="32"/>
          <w:szCs w:val="32"/>
        </w:rPr>
        <w:cr/>
      </w:r>
    </w:p>
    <w:p w14:paraId="5178230F">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2）项目支出348.96万元，占总支出的26.21％。其中：2021年度自治区中小微企业发展专项资金项目安排45.91万元，主要用于完成中小微企业服务平台服务、运营、改版升级，2021年伊犁州产业园区规划编制项目安排79.2万元，主要用于完成《伊犁州直产业布局与新型工业化发展“十四五”规划》和《伊犁州直产业园区高质量发展“十四五”规划》编制，创客大赛项目安排5万元，主要用于专精特新“小巨人”企业培训，创客企业</w:t>
      </w:r>
      <w:r>
        <w:rPr>
          <w:rFonts w:hint="eastAsia" w:ascii="仿宋_GB2312" w:hAnsi="宋体" w:eastAsia="仿宋_GB2312"/>
          <w:b/>
          <w:sz w:val="32"/>
          <w:szCs w:val="32"/>
          <w:lang w:val="en-US" w:eastAsia="zh-CN"/>
        </w:rPr>
        <w:t>选拔</w:t>
      </w:r>
      <w:r>
        <w:rPr>
          <w:rFonts w:hint="eastAsia" w:ascii="仿宋_GB2312" w:hAnsi="宋体" w:eastAsia="仿宋_GB2312"/>
          <w:b/>
          <w:sz w:val="32"/>
          <w:szCs w:val="32"/>
        </w:rPr>
        <w:t>，第十七届中国国际中小企业博览会专项支出项目安排5.79万元，主要用于参加第十七届中国国际中小企业博览会参展人员活动费及宣传费，伊犁州“千人千企（项目）”派驻干部补助专项经费项目安排67.34万元，主要用于伊犁州“千人千企（项目）”派驻干部2020年11-12月住企补助发放，伊犁州馕产品展销推介会支出项目安排20.72万元，主要用于参展人员活动费及展会场地及宣传推广费，伊犁园区经费支出项目安排15万元，主要用于办公耗材购置、考察学习、业务培训及调研等，伊犁州中小企业银行培训项目安排30万元，主要用于培育优秀企业家和企业经营管理人才为重点，深入实施中小企业人才素质提升工程，努力为提高中小企业综合素质和核心竞争力，提升培训人数达500人以上，中央财政中小企业发展专项支持</w:t>
      </w:r>
      <w:r>
        <w:rPr>
          <w:rFonts w:hint="eastAsia" w:ascii="仿宋_GB2312" w:hAnsi="宋体" w:eastAsia="仿宋_GB2312"/>
          <w:b/>
          <w:sz w:val="32"/>
          <w:szCs w:val="32"/>
          <w:lang w:eastAsia="zh-CN"/>
        </w:rPr>
        <w:t>专精特新中小企业</w:t>
      </w:r>
      <w:r>
        <w:rPr>
          <w:rFonts w:hint="eastAsia" w:ascii="仿宋_GB2312" w:hAnsi="宋体" w:eastAsia="仿宋_GB2312"/>
          <w:b/>
          <w:sz w:val="32"/>
          <w:szCs w:val="32"/>
        </w:rPr>
        <w:t>高质量发展奖补资金项目资金安排80万元，主要用于中小企业发展（新疆中超新能源电力科技有限公司（通过拍摄企 业推广视频的方式提升企业形象，并运用于企业宣传的各个方 面；租用云服务器，制作企业官网、申请制作公众号或小程序， 展示企业综合实力、科研成果，并拓宽销售渠道；通过线下服务 资源为企业拓展销售渠道及客户） 新疆西尔丹食品有限公司（通过电商代运营的方式为企业在 线上拓展销售渠道，提升产品知名度） 旭日环保集团股份有限公司（通过线下服务资源为企业提供 项目对接服务）新疆蓝山屯河型材有限公司（租用云服务器，为企业开发官 网，并在其他第三方行业门户为企业提供线上产品展示，通过线 下服务资源为企业提供项目对接服务）。</w:t>
      </w:r>
      <w:r>
        <w:rPr>
          <w:rFonts w:hint="eastAsia" w:ascii="仿宋_GB2312" w:hAnsi="宋体" w:eastAsia="仿宋_GB2312"/>
          <w:b/>
          <w:sz w:val="32"/>
          <w:szCs w:val="32"/>
        </w:rPr>
        <w:cr/>
      </w:r>
    </w:p>
    <w:p w14:paraId="420CAA7C">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（3）本年度重点项目支出79.2万元，重点支出保障率22.70%。其中重点保障项目是2021年伊犁州产业园区规划编制项目。</w:t>
      </w:r>
      <w:r>
        <w:rPr>
          <w:rFonts w:hint="eastAsia" w:ascii="仿宋_GB2312" w:hAnsi="宋体" w:eastAsia="仿宋_GB2312"/>
          <w:b/>
          <w:sz w:val="32"/>
          <w:szCs w:val="32"/>
        </w:rPr>
        <w:cr/>
      </w:r>
    </w:p>
    <w:p w14:paraId="2C4639F2">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（4）本年度我单位全年政府采购预算88.94万元,实际用于政府采购金额88.94万元，采购执行率100.00 %。</w:t>
      </w:r>
      <w:r>
        <w:rPr>
          <w:rFonts w:hint="eastAsia" w:ascii="仿宋_GB2312" w:hAnsi="宋体" w:eastAsia="仿宋_GB2312"/>
          <w:b/>
          <w:sz w:val="32"/>
          <w:szCs w:val="32"/>
        </w:rPr>
        <w:cr/>
      </w:r>
    </w:p>
    <w:p w14:paraId="1D2E2321">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2、整体支出评价使用方法和主要内容、涉及对象及范围等</w:t>
      </w:r>
      <w:r>
        <w:rPr>
          <w:rFonts w:hint="eastAsia" w:ascii="仿宋_GB2312" w:hAnsi="宋体" w:eastAsia="仿宋_GB2312"/>
          <w:b/>
          <w:sz w:val="32"/>
          <w:szCs w:val="32"/>
        </w:rPr>
        <w:cr/>
      </w:r>
    </w:p>
    <w:p w14:paraId="1254D42C">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（1）整体支出评价使用方法</w:t>
      </w:r>
      <w:r>
        <w:rPr>
          <w:rFonts w:hint="eastAsia" w:ascii="仿宋_GB2312" w:hAnsi="宋体" w:eastAsia="仿宋_GB2312"/>
          <w:b/>
          <w:sz w:val="32"/>
          <w:szCs w:val="32"/>
        </w:rPr>
        <w:cr/>
      </w:r>
    </w:p>
    <w:p w14:paraId="1C3F4390">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本次单位整体支出绩效自评采用成本效益分析法方法，原因是：通过效益分析的提炼，对项目设立的科学性和严谨性，资金分配的合理性和规范性，政策和项目实施的有效性进行充分剖析。</w:t>
      </w:r>
      <w:r>
        <w:rPr>
          <w:rFonts w:hint="eastAsia" w:ascii="仿宋_GB2312" w:hAnsi="宋体" w:eastAsia="仿宋_GB2312"/>
          <w:b/>
          <w:sz w:val="32"/>
          <w:szCs w:val="32"/>
        </w:rPr>
        <w:cr/>
      </w:r>
    </w:p>
    <w:p w14:paraId="138CAD57">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（2）整体支出评价主要内容</w:t>
      </w:r>
      <w:r>
        <w:rPr>
          <w:rFonts w:hint="eastAsia" w:ascii="仿宋_GB2312" w:hAnsi="宋体" w:eastAsia="仿宋_GB2312"/>
          <w:b/>
          <w:sz w:val="32"/>
          <w:szCs w:val="32"/>
        </w:rPr>
        <w:cr/>
      </w:r>
    </w:p>
    <w:p w14:paraId="6234CC3B">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①绩效目标的设定情况。重点评价绩效目标设立的充分性、明确性、合理性以及细化程度。</w:t>
      </w:r>
      <w:r>
        <w:rPr>
          <w:rFonts w:hint="eastAsia" w:ascii="仿宋_GB2312" w:hAnsi="宋体" w:eastAsia="仿宋_GB2312"/>
          <w:b/>
          <w:sz w:val="32"/>
          <w:szCs w:val="32"/>
        </w:rPr>
        <w:cr/>
      </w:r>
    </w:p>
    <w:p w14:paraId="55C2B91F">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②资金投入和使用情况。重点评价资金分配过程、投入方式、资金到位、预算执行和结果。</w:t>
      </w:r>
      <w:r>
        <w:rPr>
          <w:rFonts w:hint="eastAsia" w:ascii="仿宋_GB2312" w:hAnsi="宋体" w:eastAsia="仿宋_GB2312"/>
          <w:b/>
          <w:sz w:val="32"/>
          <w:szCs w:val="32"/>
        </w:rPr>
        <w:cr/>
      </w:r>
    </w:p>
    <w:p w14:paraId="4AE963CC">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③为实现绩效目标制定的制度、采取的措施等。包括项目管理制度、财务管理制度、资产管理制度和绩效跟踪管理措施等。</w:t>
      </w:r>
      <w:r>
        <w:rPr>
          <w:rFonts w:hint="eastAsia" w:ascii="仿宋_GB2312" w:hAnsi="宋体" w:eastAsia="仿宋_GB2312"/>
          <w:b/>
          <w:sz w:val="32"/>
          <w:szCs w:val="32"/>
        </w:rPr>
        <w:cr/>
      </w:r>
    </w:p>
    <w:p w14:paraId="29839063">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④绩效目标的实现程度和效果。绩效目标的实现程度包括产出数量、产出质量、产出时效和产出成本。效果包括经济效益、社会效益、生态效益、可持续影响以及服务对象满意度等。</w:t>
      </w:r>
      <w:r>
        <w:rPr>
          <w:rFonts w:hint="eastAsia" w:ascii="仿宋_GB2312" w:hAnsi="宋体" w:eastAsia="仿宋_GB2312"/>
          <w:b/>
          <w:sz w:val="32"/>
          <w:szCs w:val="32"/>
        </w:rPr>
        <w:cr/>
      </w:r>
    </w:p>
    <w:p w14:paraId="382C5139">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（3）整体支出评价涉及对象及范围</w:t>
      </w:r>
      <w:r>
        <w:rPr>
          <w:rFonts w:hint="eastAsia" w:ascii="仿宋_GB2312" w:hAnsi="宋体" w:eastAsia="仿宋_GB2312"/>
          <w:b/>
          <w:sz w:val="32"/>
          <w:szCs w:val="32"/>
        </w:rPr>
        <w:cr/>
      </w:r>
    </w:p>
    <w:p w14:paraId="00C1E05E">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涉及对象：本次评价对象是伊犁州工业和信息化局所有财政资金支出活动。</w:t>
      </w:r>
      <w:r>
        <w:rPr>
          <w:rFonts w:hint="eastAsia" w:ascii="仿宋_GB2312" w:hAnsi="宋体" w:eastAsia="仿宋_GB2312"/>
          <w:b/>
          <w:sz w:val="32"/>
          <w:szCs w:val="32"/>
        </w:rPr>
        <w:cr/>
      </w:r>
    </w:p>
    <w:p w14:paraId="02E325BA">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整体支出评价范围：</w:t>
      </w:r>
      <w:r>
        <w:rPr>
          <w:rFonts w:hint="eastAsia" w:ascii="仿宋_GB2312" w:hAnsi="宋体" w:eastAsia="仿宋_GB2312"/>
          <w:b/>
          <w:sz w:val="32"/>
          <w:szCs w:val="32"/>
        </w:rPr>
        <w:cr/>
      </w:r>
    </w:p>
    <w:p w14:paraId="7801F906">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①基本支出982.55万元，其中：工资福利支出753.49万元、商品和服务支出94.53万元、对个人和家庭的补助支出134.53万元。</w:t>
      </w:r>
      <w:r>
        <w:rPr>
          <w:rFonts w:hint="eastAsia" w:ascii="仿宋_GB2312" w:hAnsi="宋体" w:eastAsia="仿宋_GB2312"/>
          <w:b/>
          <w:sz w:val="32"/>
          <w:szCs w:val="32"/>
        </w:rPr>
        <w:cr/>
      </w:r>
    </w:p>
    <w:p w14:paraId="41C7CB76">
      <w:pPr>
        <w:spacing w:line="600" w:lineRule="exact"/>
        <w:ind w:left="648" w:firstLine="643" w:firstLineChars="200"/>
        <w:jc w:val="left"/>
        <w:rPr>
          <w:rFonts w:hint="eastAsia" w:ascii="仿宋_GB2312" w:hAnsi="宋体" w:eastAsia="仿宋_GB2312"/>
          <w:b/>
          <w:sz w:val="32"/>
          <w:szCs w:val="32"/>
        </w:rPr>
      </w:pPr>
      <w:r>
        <w:rPr>
          <w:rFonts w:hint="eastAsia" w:ascii="仿宋_GB2312" w:hAnsi="宋体" w:eastAsia="仿宋_GB2312"/>
          <w:b/>
          <w:sz w:val="32"/>
          <w:szCs w:val="32"/>
        </w:rPr>
        <w:t>②项目支出348.96万元：2021年度自治区中小微企业发展专项资金项目支出45.91万元，2021年伊犁州产业园区规划编制项目支出79.2万元，创客大赛项目支出5万元，第十七届中国国际中小企业博览会专项支出项目支出5.79万元，伊犁州“千人千企（项目）”派驻干部补助专项经费项目支出67.34万元，伊犁州馕产品展销推介会支出项目支出20.72万元，伊犁园区经费支出项目支出15万元，伊犁州中小企业银行培训项目支出30万元，中央财政中小企业发展专项支持</w:t>
      </w:r>
      <w:r>
        <w:rPr>
          <w:rFonts w:hint="eastAsia" w:ascii="仿宋_GB2312" w:hAnsi="宋体" w:eastAsia="仿宋_GB2312"/>
          <w:b/>
          <w:sz w:val="32"/>
          <w:szCs w:val="32"/>
          <w:lang w:eastAsia="zh-CN"/>
        </w:rPr>
        <w:t>专精特新中小企业</w:t>
      </w:r>
      <w:r>
        <w:rPr>
          <w:rFonts w:hint="eastAsia" w:ascii="仿宋_GB2312" w:hAnsi="宋体" w:eastAsia="仿宋_GB2312"/>
          <w:b/>
          <w:sz w:val="32"/>
          <w:szCs w:val="32"/>
        </w:rPr>
        <w:t>高质量发展奖补资金项目支出80万元。</w:t>
      </w:r>
      <w:bookmarkStart w:id="0" w:name="_Hlk43849111"/>
      <w:bookmarkEnd w:id="0"/>
    </w:p>
    <w:p w14:paraId="755644A5">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部门单位整体支出管理及使用情况</w:t>
      </w:r>
    </w:p>
    <w:p w14:paraId="64EF9C40">
      <w:pPr>
        <w:spacing w:line="600" w:lineRule="exact"/>
        <w:ind w:firstLine="800" w:firstLineChars="250"/>
        <w:jc w:val="left"/>
        <w:rPr>
          <w:rFonts w:hint="eastAsia" w:ascii="仿宋_GB2312" w:hAnsi="宋体" w:eastAsia="仿宋_GB2312"/>
          <w:b/>
          <w:sz w:val="32"/>
          <w:szCs w:val="32"/>
          <w:lang w:eastAsia="zh-CN"/>
        </w:rPr>
      </w:pPr>
      <w:r>
        <w:rPr>
          <w:rFonts w:hint="eastAsia" w:ascii="黑体" w:hAnsi="黑体" w:eastAsia="黑体" w:cs="宋体"/>
          <w:bCs/>
          <w:color w:val="333333"/>
          <w:sz w:val="32"/>
          <w:szCs w:val="32"/>
          <w:lang w:bidi="ar"/>
        </w:rPr>
        <w:t xml:space="preserve"> </w:t>
      </w:r>
      <w:r>
        <w:rPr>
          <w:rFonts w:ascii="黑体" w:hAnsi="黑体" w:eastAsia="黑体" w:cs="宋体"/>
          <w:bCs/>
          <w:color w:val="333333"/>
          <w:sz w:val="32"/>
          <w:szCs w:val="32"/>
          <w:lang w:bidi="ar"/>
        </w:rPr>
        <w:t xml:space="preserve">  </w:t>
      </w:r>
      <w:r>
        <w:rPr>
          <w:rFonts w:hint="eastAsia" w:ascii="仿宋_GB2312" w:hAnsi="宋体" w:eastAsia="仿宋_GB2312"/>
          <w:b/>
          <w:sz w:val="32"/>
          <w:szCs w:val="32"/>
        </w:rPr>
        <w:t>1、预算编制管理</w:t>
      </w:r>
      <w:r>
        <w:rPr>
          <w:rFonts w:hint="eastAsia" w:ascii="仿宋_GB2312" w:hAnsi="宋体" w:eastAsia="仿宋_GB2312"/>
          <w:b/>
          <w:sz w:val="32"/>
          <w:szCs w:val="32"/>
        </w:rPr>
        <w:cr/>
      </w:r>
    </w:p>
    <w:p w14:paraId="4DF0B4EA">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我单位严格按照财政部门预算编制与预算调整的工作要求，在预算编制、分配依据否充分的条件下，切实做好“先定目标再编预算”，确保预算分配结果合理。同时按照政府公开有关规定公开相关预决算信息要求，部门预算及绩效目标在政府信息网站公开，广泛接受社会监督。</w:t>
      </w:r>
      <w:r>
        <w:rPr>
          <w:rFonts w:hint="eastAsia" w:ascii="仿宋_GB2312" w:hAnsi="宋体" w:eastAsia="仿宋_GB2312"/>
          <w:b/>
          <w:sz w:val="32"/>
          <w:szCs w:val="32"/>
        </w:rPr>
        <w:cr/>
      </w:r>
    </w:p>
    <w:p w14:paraId="1E0D31A3">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2、预算支出管理</w:t>
      </w:r>
      <w:r>
        <w:rPr>
          <w:rFonts w:hint="eastAsia" w:ascii="仿宋_GB2312" w:hAnsi="宋体" w:eastAsia="仿宋_GB2312"/>
          <w:b/>
          <w:sz w:val="32"/>
          <w:szCs w:val="32"/>
        </w:rPr>
        <w:cr/>
      </w:r>
    </w:p>
    <w:p w14:paraId="6021FE41">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我单位按照财政要求基本支出分月度申报资金使用计划，由财政部门按照进度每月按期拨付，人员支出按照工资计划发放工资；依照伊犁州工业和信息化局《专项资金管理办法》相关规定和伊犁州工业和信息化局《专项资金管理办法》规定流程，资金支出按照我内控体系中设定的流程申报审批进行；项目支出属于政府采购的，按照伊犁州工业和信息化局《政府采购与招标管理办法》组织人员制定采购计划，按照财政局采购部门批复，进行公开招标、邀请招标等方式进行；属于非政府采购的项目，按照“三重一大”制度规定，重大项目支出上党组会研究决定。</w:t>
      </w:r>
      <w:r>
        <w:rPr>
          <w:rFonts w:hint="eastAsia" w:ascii="仿宋_GB2312" w:hAnsi="宋体" w:eastAsia="仿宋_GB2312"/>
          <w:b/>
          <w:sz w:val="32"/>
          <w:szCs w:val="32"/>
        </w:rPr>
        <w:cr/>
      </w:r>
    </w:p>
    <w:p w14:paraId="0FE83D94">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（二）基本支出管理及使用情况</w:t>
      </w:r>
      <w:r>
        <w:rPr>
          <w:rFonts w:hint="eastAsia" w:ascii="仿宋_GB2312" w:hAnsi="宋体" w:eastAsia="仿宋_GB2312"/>
          <w:b/>
          <w:sz w:val="32"/>
          <w:szCs w:val="32"/>
        </w:rPr>
        <w:cr/>
      </w:r>
    </w:p>
    <w:p w14:paraId="6AB21ED1">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2021年基本支出预算安排988.46万元，实际到位988.46万元,实际支出982.55万元，占总支出的73.79％，其中：工资福利支出753.49万元、商品和服务支出94.53万元、对个人和家庭的补助134.53万元、主要用于用于保障部门单位人员发放工资福利支出及对个人和家庭补助及日常办公费、取暖费、三公经费、工会经费、福利费及其它商品和服务支出。</w:t>
      </w:r>
      <w:r>
        <w:rPr>
          <w:rFonts w:hint="eastAsia" w:ascii="仿宋_GB2312" w:hAnsi="宋体" w:eastAsia="仿宋_GB2312"/>
          <w:b/>
          <w:sz w:val="32"/>
          <w:szCs w:val="32"/>
        </w:rPr>
        <w:cr/>
      </w:r>
    </w:p>
    <w:p w14:paraId="3A8FEE3C">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2021年基本支出比上年1118.77万元,减少136.22万元，下降 12.18%，支出减少的主要原因是在职退休1人，减少1人，离休死亡2人，退休死亡5人，工资支出减少。</w:t>
      </w:r>
      <w:r>
        <w:rPr>
          <w:rFonts w:hint="eastAsia" w:ascii="仿宋_GB2312" w:hAnsi="宋体" w:eastAsia="仿宋_GB2312"/>
          <w:b/>
          <w:sz w:val="32"/>
          <w:szCs w:val="32"/>
        </w:rPr>
        <w:cr/>
      </w:r>
    </w:p>
    <w:p w14:paraId="59AAB7A9">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2021年一般公共预算“三公”经费数为6.90万元，其中：因公出国（境）费0万元，公务用车购置0万元，公务用车运行费6.9万元，公务接待费0万元。</w:t>
      </w:r>
      <w:r>
        <w:rPr>
          <w:rFonts w:hint="eastAsia" w:ascii="仿宋_GB2312" w:hAnsi="宋体" w:eastAsia="仿宋_GB2312"/>
          <w:b/>
          <w:sz w:val="32"/>
          <w:szCs w:val="32"/>
        </w:rPr>
        <w:cr/>
      </w:r>
    </w:p>
    <w:p w14:paraId="37E68CC6">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2021年一般公共预算“三公”经费比上年增加0万元，其中：因公出国（境）费增加0万元，主要原因是本年和上年未安排预算；公务用车购置费为0万元，主要原因是本年和上年未安排预算。公务用车运行费增加0万元，主要原因是车辆编制未增加；公务接待费增加0万元，主要原因是本年和上年未安排预算。</w:t>
      </w:r>
      <w:r>
        <w:rPr>
          <w:rFonts w:hint="eastAsia" w:ascii="仿宋_GB2312" w:hAnsi="宋体" w:eastAsia="仿宋_GB2312"/>
          <w:b/>
          <w:sz w:val="32"/>
          <w:szCs w:val="32"/>
        </w:rPr>
        <w:cr/>
      </w:r>
    </w:p>
    <w:p w14:paraId="01E3548F">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（三）专项支出管理及使用情况</w:t>
      </w:r>
      <w:r>
        <w:rPr>
          <w:rFonts w:hint="eastAsia" w:ascii="仿宋_GB2312" w:hAnsi="宋体" w:eastAsia="仿宋_GB2312"/>
          <w:b/>
          <w:sz w:val="32"/>
          <w:szCs w:val="32"/>
        </w:rPr>
        <w:cr/>
      </w:r>
    </w:p>
    <w:p w14:paraId="1B507A2C">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1、专项资金安排落实、总投入等情况分析</w:t>
      </w:r>
      <w:r>
        <w:rPr>
          <w:rFonts w:hint="eastAsia" w:ascii="仿宋_GB2312" w:hAnsi="宋体" w:eastAsia="仿宋_GB2312"/>
          <w:b/>
          <w:sz w:val="32"/>
          <w:szCs w:val="32"/>
        </w:rPr>
        <w:cr/>
      </w:r>
    </w:p>
    <w:p w14:paraId="5C03CC07">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2021年预算安排专项资金368.34万元，实际到位368.34元, 到位率100.00％,其中:中央转移支付项目资金80万元，自治区资金55万元，本级安排233.34万元。</w:t>
      </w:r>
      <w:r>
        <w:rPr>
          <w:rFonts w:hint="eastAsia" w:ascii="仿宋_GB2312" w:hAnsi="宋体" w:eastAsia="仿宋_GB2312"/>
          <w:b/>
          <w:sz w:val="32"/>
          <w:szCs w:val="32"/>
        </w:rPr>
        <w:cr/>
      </w:r>
    </w:p>
    <w:p w14:paraId="02B243CD">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2、专项资金实际使用情况</w:t>
      </w:r>
      <w:r>
        <w:rPr>
          <w:rFonts w:hint="eastAsia" w:ascii="仿宋_GB2312" w:hAnsi="宋体" w:eastAsia="仿宋_GB2312"/>
          <w:b/>
          <w:sz w:val="32"/>
          <w:szCs w:val="32"/>
        </w:rPr>
        <w:cr/>
      </w:r>
    </w:p>
    <w:p w14:paraId="2FD9AE76">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2021年专项资金支出348.96万元，占总支出的26.21%，其中2021年专项项目支出比上年112.57万元增加236.36万元，上升209.99%。支出上升的主要原因是项目资金安排增加。其中：2021年度自治区中小微企业发展专项资金项目安排45.91万元，主要用于完成中小微企业服务平台服务、运营、改版升级，2021年伊犁州产业园区规划编制项目安排79.2万元，主要用于完成《伊犁州直产业布局与新型工业化发展“十四五”规划》和《伊犁州直产业园区高质量发展“十四五”规划》编制，创客大赛项目安排5万元，主要用于专精特新“小巨人”企业培训，创客企业</w:t>
      </w:r>
      <w:r>
        <w:rPr>
          <w:rFonts w:hint="eastAsia" w:ascii="仿宋_GB2312" w:hAnsi="宋体" w:eastAsia="仿宋_GB2312"/>
          <w:b/>
          <w:sz w:val="32"/>
          <w:szCs w:val="32"/>
          <w:lang w:val="en-US" w:eastAsia="zh-CN"/>
        </w:rPr>
        <w:t>选拔</w:t>
      </w:r>
      <w:r>
        <w:rPr>
          <w:rFonts w:hint="eastAsia" w:ascii="仿宋_GB2312" w:hAnsi="宋体" w:eastAsia="仿宋_GB2312"/>
          <w:b/>
          <w:sz w:val="32"/>
          <w:szCs w:val="32"/>
        </w:rPr>
        <w:t>，第十七届中国国际中小企业博览会专项支出项目安排5.79万元，主要用于参加第十七届中国国际中小企业博览会参展人员活动费及宣传费，伊犁州“千人千企（项目）”派驻干部补助专项经费项目安排67.34万元，主要用于伊犁州“千人千企（项目）”派驻干部2020年11-12月住企补助发放，伊犁州馕产品展销推介会支出项目安排20.72万元，主要用于参展人员活动费及展会场地及宣传推广费，伊犁园区经费支出项目安排15万元，主要用于办公耗材购置、考察学习、业务培训及调研等，伊犁州中小企业银行培训项目安排30万元，主要用于培育优秀企业家和企业经营管理人才为重点，深入实施中小企业人才素质提升工程，努力为提高中小企业综合素质和核心竞争力，提升培训人数达500人以上，中央财政中小企业发展专项支持</w:t>
      </w:r>
      <w:r>
        <w:rPr>
          <w:rFonts w:hint="eastAsia" w:ascii="仿宋_GB2312" w:hAnsi="宋体" w:eastAsia="仿宋_GB2312"/>
          <w:b/>
          <w:sz w:val="32"/>
          <w:szCs w:val="32"/>
          <w:lang w:eastAsia="zh-CN"/>
        </w:rPr>
        <w:t>专精特新中小企业</w:t>
      </w:r>
      <w:r>
        <w:rPr>
          <w:rFonts w:hint="eastAsia" w:ascii="仿宋_GB2312" w:hAnsi="宋体" w:eastAsia="仿宋_GB2312"/>
          <w:b/>
          <w:sz w:val="32"/>
          <w:szCs w:val="32"/>
        </w:rPr>
        <w:t>高质量发展奖补资金项目安排80万元，主要用于中小企业发展（新疆中超新能源电力科技有限公司（通过拍摄企 业推广视频的方式提升企业形象，并运用于企业宣传的各个方 面；租用云服务器，制作企业官网、申请制作公众号或小程序， 展示企业综合实力、科研成果，并拓宽销售渠道；通过线下服务 资源为企业拓展销售渠道及客户） 新疆西尔丹食品有限公司（通过电商代运营的方式为企业在 线上拓展销售渠道，提升产品知名度） 旭日环保集团股份有限公司（通过线下服务资源为企业提供 项目对接服务）新疆蓝山屯河型材有限公司（租用云服务器，为企业开发官 网，并在其他第三方行业门户为企业提供线上产品展示，通过线 下服务资源为企业提供项目对接服务）。</w:t>
      </w:r>
      <w:r>
        <w:rPr>
          <w:rFonts w:hint="eastAsia" w:ascii="仿宋_GB2312" w:hAnsi="宋体" w:eastAsia="仿宋_GB2312"/>
          <w:b/>
          <w:sz w:val="32"/>
          <w:szCs w:val="32"/>
        </w:rPr>
        <w:cr/>
      </w:r>
    </w:p>
    <w:p w14:paraId="5C03582F">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3、专项资金管理情况</w:t>
      </w:r>
      <w:r>
        <w:rPr>
          <w:rFonts w:hint="eastAsia" w:ascii="仿宋_GB2312" w:hAnsi="宋体" w:eastAsia="仿宋_GB2312"/>
          <w:b/>
          <w:sz w:val="32"/>
          <w:szCs w:val="32"/>
        </w:rPr>
        <w:cr/>
      </w:r>
    </w:p>
    <w:p w14:paraId="32D61E81">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为规范专项资金使用，提高专项资金使用效益，我单位主要采取四项措施。</w:t>
      </w:r>
      <w:r>
        <w:rPr>
          <w:rFonts w:hint="eastAsia" w:ascii="仿宋_GB2312" w:hAnsi="宋体" w:eastAsia="仿宋_GB2312"/>
          <w:b/>
          <w:sz w:val="32"/>
          <w:szCs w:val="32"/>
        </w:rPr>
        <w:cr/>
      </w:r>
    </w:p>
    <w:p w14:paraId="3EB9C6B2">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一是制订专项资金管理制度；二是各专项资金建立了专帐；三是制订了项目实施方案；四是认真组织项目验收。切实确保专项资金都做到了专款专用。其中：</w:t>
      </w:r>
      <w:r>
        <w:rPr>
          <w:rFonts w:hint="eastAsia" w:ascii="仿宋_GB2312" w:hAnsi="宋体" w:eastAsia="仿宋_GB2312"/>
          <w:b/>
          <w:sz w:val="32"/>
          <w:szCs w:val="32"/>
        </w:rPr>
        <w:cr/>
      </w:r>
    </w:p>
    <w:p w14:paraId="35D3A47A">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1）制定了《项目专项资金管理办法》的专项资金管理办法，各项资金使用审批流程均按规定办理。涉及“三重一大”内容，严格按照规定提请局党组会审议决定，包括项目资金分配、重大项目确定、大额资金支付等。</w:t>
      </w:r>
      <w:r>
        <w:rPr>
          <w:rFonts w:hint="eastAsia" w:ascii="仿宋_GB2312" w:hAnsi="宋体" w:eastAsia="仿宋_GB2312"/>
          <w:b/>
          <w:sz w:val="32"/>
          <w:szCs w:val="32"/>
        </w:rPr>
        <w:cr/>
      </w:r>
    </w:p>
    <w:p w14:paraId="057107FB">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（2）建立伊犁州工业和信息化局专项资金专帐，做到有据可依，有据可查。</w:t>
      </w:r>
      <w:r>
        <w:rPr>
          <w:rFonts w:hint="eastAsia" w:ascii="仿宋_GB2312" w:hAnsi="宋体" w:eastAsia="仿宋_GB2312"/>
          <w:b/>
          <w:sz w:val="32"/>
          <w:szCs w:val="32"/>
        </w:rPr>
        <w:cr/>
      </w:r>
    </w:p>
    <w:p w14:paraId="351D90B9">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（3）制订了伊犁州工业和信息化局项目实施方案，确保项目顺利实施。</w:t>
      </w:r>
      <w:r>
        <w:rPr>
          <w:rFonts w:hint="eastAsia" w:ascii="仿宋_GB2312" w:hAnsi="宋体" w:eastAsia="仿宋_GB2312"/>
          <w:b/>
          <w:sz w:val="32"/>
          <w:szCs w:val="32"/>
        </w:rPr>
        <w:cr/>
      </w:r>
    </w:p>
    <w:p w14:paraId="1E131814">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（4）认真组织伊犁州工业和信息化局项目验收，确保项目补助资金的使用效益，提升项目服务水平。</w:t>
      </w:r>
      <w:r>
        <w:rPr>
          <w:rFonts w:hint="eastAsia" w:ascii="仿宋_GB2312" w:hAnsi="宋体" w:eastAsia="仿宋_GB2312"/>
          <w:b/>
          <w:sz w:val="32"/>
          <w:szCs w:val="32"/>
        </w:rPr>
        <w:cr/>
      </w:r>
    </w:p>
    <w:p w14:paraId="41FE2EBC">
      <w:pPr>
        <w:spacing w:line="600" w:lineRule="exact"/>
        <w:ind w:firstLine="803" w:firstLineChars="250"/>
        <w:jc w:val="left"/>
        <w:rPr>
          <w:rFonts w:ascii="仿宋_GB2312" w:hAnsi="宋体" w:eastAsia="仿宋_GB2312"/>
          <w:b/>
          <w:sz w:val="32"/>
          <w:szCs w:val="32"/>
        </w:rPr>
      </w:pPr>
      <w:r>
        <w:rPr>
          <w:rFonts w:hint="eastAsia" w:ascii="仿宋_GB2312" w:hAnsi="宋体" w:eastAsia="仿宋_GB2312"/>
          <w:b/>
          <w:sz w:val="32"/>
          <w:szCs w:val="32"/>
        </w:rPr>
        <w:t>专项资金涉及政府采购项目的，按照财政局《政府采购与招标管理办法》组织人员制定采购计划，按照财政局采购部门批复，进行公开招标、邀请招标等方式进行。</w:t>
      </w:r>
    </w:p>
    <w:p w14:paraId="42039D96">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部门单位专项组织实施情况</w:t>
      </w:r>
    </w:p>
    <w:p w14:paraId="117D9829">
      <w:pPr>
        <w:spacing w:line="600" w:lineRule="exact"/>
        <w:ind w:firstLine="800" w:firstLineChars="250"/>
        <w:jc w:val="left"/>
        <w:rPr>
          <w:rFonts w:hint="eastAsia" w:ascii="仿宋_GB2312" w:hAnsi="宋体" w:eastAsia="仿宋_GB2312"/>
          <w:b/>
          <w:sz w:val="32"/>
          <w:szCs w:val="32"/>
          <w:lang w:eastAsia="zh-CN"/>
        </w:rPr>
      </w:pPr>
      <w:r>
        <w:rPr>
          <w:rFonts w:hint="eastAsia" w:ascii="黑体" w:hAnsi="黑体" w:eastAsia="黑体" w:cs="宋体"/>
          <w:bCs/>
          <w:color w:val="333333"/>
          <w:sz w:val="32"/>
          <w:szCs w:val="32"/>
          <w:lang w:bidi="ar"/>
        </w:rPr>
        <w:t xml:space="preserve"> </w:t>
      </w:r>
      <w:r>
        <w:rPr>
          <w:rFonts w:ascii="黑体" w:hAnsi="黑体" w:eastAsia="黑体" w:cs="宋体"/>
          <w:bCs/>
          <w:color w:val="333333"/>
          <w:sz w:val="32"/>
          <w:szCs w:val="32"/>
          <w:lang w:bidi="ar"/>
        </w:rPr>
        <w:t xml:space="preserve">  </w:t>
      </w:r>
      <w:r>
        <w:rPr>
          <w:rFonts w:hint="eastAsia" w:ascii="仿宋_GB2312" w:hAnsi="宋体" w:eastAsia="仿宋_GB2312"/>
          <w:b/>
          <w:sz w:val="32"/>
          <w:szCs w:val="32"/>
        </w:rPr>
        <w:t>(一)</w:t>
      </w:r>
      <w:r>
        <w:rPr>
          <w:rFonts w:hint="eastAsia" w:ascii="仿宋_GB2312" w:hAnsi="宋体" w:eastAsia="仿宋_GB2312"/>
          <w:b/>
          <w:sz w:val="32"/>
          <w:szCs w:val="32"/>
        </w:rPr>
        <w:tab/>
      </w:r>
      <w:r>
        <w:rPr>
          <w:rFonts w:hint="eastAsia" w:ascii="仿宋_GB2312" w:hAnsi="宋体" w:eastAsia="仿宋_GB2312"/>
          <w:b/>
          <w:sz w:val="32"/>
          <w:szCs w:val="32"/>
        </w:rPr>
        <w:t>专项组织情况分析</w:t>
      </w:r>
      <w:r>
        <w:rPr>
          <w:rFonts w:hint="eastAsia" w:ascii="仿宋_GB2312" w:hAnsi="宋体" w:eastAsia="仿宋_GB2312"/>
          <w:b/>
          <w:sz w:val="32"/>
          <w:szCs w:val="32"/>
        </w:rPr>
        <w:cr/>
      </w:r>
    </w:p>
    <w:p w14:paraId="47591A96">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1、前期准备</w:t>
      </w:r>
      <w:r>
        <w:rPr>
          <w:rFonts w:hint="eastAsia" w:ascii="仿宋_GB2312" w:hAnsi="宋体" w:eastAsia="仿宋_GB2312"/>
          <w:b/>
          <w:sz w:val="32"/>
          <w:szCs w:val="32"/>
        </w:rPr>
        <w:cr/>
      </w:r>
    </w:p>
    <w:p w14:paraId="46F0CADF">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年初我单位下发的项目专项工作计划，对项目的工作分工、任务分配、资金落实、完成时限等提出了明确、具体的要求，以确保项目保质、保量、按时完成。详细如下：收集部门成立背景资料、部门战略目标、中长期工作规划、部门职责、组织构成及其职能、预算编制等资料，并组织绩效评价自评小组对部门相关文件进行研读，梳理并确认工作任务及要求、部门内部管理制度及存量资源。梳理2021年专项资金使用情况和专项项目实施规模，根据各专项实际存档资料，就专项工作计划与部门职能和规划内容、与科室和项目之间的对应关系、重点工作安排与重点项目安排情况等，与相关科室的管理人员进行了沟通和交流，深入了解本部门涉及专项资金的使用情况和项目完成情况。</w:t>
      </w:r>
      <w:r>
        <w:rPr>
          <w:rFonts w:hint="eastAsia" w:ascii="仿宋_GB2312" w:hAnsi="宋体" w:eastAsia="仿宋_GB2312"/>
          <w:b/>
          <w:sz w:val="32"/>
          <w:szCs w:val="32"/>
        </w:rPr>
        <w:cr/>
      </w:r>
    </w:p>
    <w:p w14:paraId="01A7D4D3">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2、组织实施</w:t>
      </w:r>
      <w:r>
        <w:rPr>
          <w:rFonts w:hint="eastAsia" w:ascii="仿宋_GB2312" w:hAnsi="宋体" w:eastAsia="仿宋_GB2312"/>
          <w:b/>
          <w:sz w:val="32"/>
          <w:szCs w:val="32"/>
        </w:rPr>
        <w:cr/>
      </w:r>
    </w:p>
    <w:p w14:paraId="5373E811">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我单位通过文件研读和前期调研等方式，收集、整理、总结部门的职能定位、中长期规划、年度工作计划以及专项项目实施情况。对于专项资金项目下达的绩效目标表，按照下达绩效目标，立足实际完成情况，开展专项项目绩效自评。对于未下达绩效目标表的项目，由我单位自行设定并经财政审核备案后，实施专项项目绩效自评。自评内容主要包括以下两个方面：</w:t>
      </w:r>
      <w:r>
        <w:rPr>
          <w:rFonts w:hint="eastAsia" w:ascii="仿宋_GB2312" w:hAnsi="宋体" w:eastAsia="仿宋_GB2312"/>
          <w:b/>
          <w:sz w:val="32"/>
          <w:szCs w:val="32"/>
        </w:rPr>
        <w:cr/>
      </w:r>
    </w:p>
    <w:p w14:paraId="5DBD5F4C">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一是对专项项目预算执行情况进行分析，再考察专项项目产出、项目目标的实现程度和管理有效性，从而总结项目取得的业绩和经验，发现项目存在的不足之处。</w:t>
      </w:r>
      <w:r>
        <w:rPr>
          <w:rFonts w:hint="eastAsia" w:ascii="仿宋_GB2312" w:hAnsi="宋体" w:eastAsia="仿宋_GB2312"/>
          <w:b/>
          <w:sz w:val="32"/>
          <w:szCs w:val="32"/>
        </w:rPr>
        <w:cr/>
      </w:r>
    </w:p>
    <w:p w14:paraId="7506589B">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二是对财政资金使用合规性进行评价，主要评价：①专项资金不存在截留、挪用，支付审批合规、不存在用途改变、范围超支和虚列项目支出等情况；②项目实施符合专项管理办法，流程和管理制度合规；③项目完成情况的真实性和绩效目标完成情况分析。通过评价发现财政资金使用中存在的合规性问题，总结财务内控中存在的不足之处。</w:t>
      </w:r>
      <w:r>
        <w:rPr>
          <w:rFonts w:hint="eastAsia" w:ascii="仿宋_GB2312" w:hAnsi="宋体" w:eastAsia="仿宋_GB2312"/>
          <w:b/>
          <w:sz w:val="32"/>
          <w:szCs w:val="32"/>
        </w:rPr>
        <w:cr/>
      </w:r>
    </w:p>
    <w:p w14:paraId="274BD203">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截止12月25日，该项目专项均按照时间计划保质、保量完成。</w:t>
      </w:r>
      <w:r>
        <w:rPr>
          <w:rFonts w:hint="eastAsia" w:ascii="仿宋_GB2312" w:hAnsi="宋体" w:eastAsia="仿宋_GB2312"/>
          <w:b/>
          <w:sz w:val="32"/>
          <w:szCs w:val="32"/>
        </w:rPr>
        <w:cr/>
      </w:r>
    </w:p>
    <w:p w14:paraId="18B5B7A0">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(二)</w:t>
      </w:r>
      <w:r>
        <w:rPr>
          <w:rFonts w:hint="eastAsia" w:ascii="仿宋_GB2312" w:hAnsi="宋体" w:eastAsia="仿宋_GB2312"/>
          <w:b/>
          <w:sz w:val="32"/>
          <w:szCs w:val="32"/>
        </w:rPr>
        <w:tab/>
      </w:r>
      <w:r>
        <w:rPr>
          <w:rFonts w:hint="eastAsia" w:ascii="仿宋_GB2312" w:hAnsi="宋体" w:eastAsia="仿宋_GB2312"/>
          <w:b/>
          <w:sz w:val="32"/>
          <w:szCs w:val="32"/>
        </w:rPr>
        <w:t>专项管理情况分析</w:t>
      </w:r>
      <w:r>
        <w:rPr>
          <w:rFonts w:hint="eastAsia" w:ascii="仿宋_GB2312" w:hAnsi="宋体" w:eastAsia="仿宋_GB2312"/>
          <w:b/>
          <w:sz w:val="32"/>
          <w:szCs w:val="32"/>
        </w:rPr>
        <w:cr/>
      </w:r>
    </w:p>
    <w:p w14:paraId="1BF836BA">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1、资金到位及使用情况</w:t>
      </w:r>
      <w:r>
        <w:rPr>
          <w:rFonts w:hint="eastAsia" w:ascii="仿宋_GB2312" w:hAnsi="宋体" w:eastAsia="仿宋_GB2312"/>
          <w:b/>
          <w:sz w:val="32"/>
          <w:szCs w:val="32"/>
        </w:rPr>
        <w:cr/>
      </w:r>
    </w:p>
    <w:p w14:paraId="7DCD10CD">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2021年涉及专项资金368.34万元，实际到位368.34万元，资金到位率100.00%。截止到2021年12月25日执行348.96万元，执行率94.74%。其中：2021年结转专项资金0万元，实际执行0万元，执行率为0.00%；2021年新增专项资金0万元，实际执行0万元，执行率为0.00%。</w:t>
      </w:r>
      <w:r>
        <w:rPr>
          <w:rFonts w:hint="eastAsia" w:ascii="仿宋_GB2312" w:hAnsi="宋体" w:eastAsia="仿宋_GB2312"/>
          <w:b/>
          <w:sz w:val="32"/>
          <w:szCs w:val="32"/>
        </w:rPr>
        <w:cr/>
      </w:r>
    </w:p>
    <w:p w14:paraId="6A2C4EAD">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2、资金管理情况</w:t>
      </w:r>
      <w:r>
        <w:rPr>
          <w:rFonts w:hint="eastAsia" w:ascii="仿宋_GB2312" w:hAnsi="宋体" w:eastAsia="仿宋_GB2312"/>
          <w:b/>
          <w:sz w:val="32"/>
          <w:szCs w:val="32"/>
        </w:rPr>
        <w:cr/>
      </w:r>
    </w:p>
    <w:p w14:paraId="6512607A">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我单位严格执行《伊犁哈萨克自治州专项资金管理办法》文件精神要求，加强对专项资金的绩效管理，确保专款专用，提高专项资金使用效益。遵守相关法律法规，严肃财经纪律，自觉接受财政、审计、监察监督检查。</w:t>
      </w:r>
      <w:r>
        <w:rPr>
          <w:rFonts w:hint="eastAsia" w:ascii="仿宋_GB2312" w:hAnsi="宋体" w:eastAsia="仿宋_GB2312"/>
          <w:b/>
          <w:sz w:val="32"/>
          <w:szCs w:val="32"/>
        </w:rPr>
        <w:cr/>
      </w:r>
    </w:p>
    <w:p w14:paraId="7749210C">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(三)</w:t>
      </w:r>
      <w:r>
        <w:rPr>
          <w:rFonts w:hint="eastAsia" w:ascii="仿宋_GB2312" w:hAnsi="宋体" w:eastAsia="仿宋_GB2312"/>
          <w:b/>
          <w:sz w:val="32"/>
          <w:szCs w:val="32"/>
        </w:rPr>
        <w:tab/>
      </w:r>
      <w:r>
        <w:rPr>
          <w:rFonts w:hint="eastAsia" w:ascii="仿宋_GB2312" w:hAnsi="宋体" w:eastAsia="仿宋_GB2312"/>
          <w:b/>
          <w:sz w:val="32"/>
          <w:szCs w:val="32"/>
        </w:rPr>
        <w:t>项目实施情况分析</w:t>
      </w:r>
      <w:r>
        <w:rPr>
          <w:rFonts w:hint="eastAsia" w:ascii="仿宋_GB2312" w:hAnsi="宋体" w:eastAsia="仿宋_GB2312"/>
          <w:b/>
          <w:sz w:val="32"/>
          <w:szCs w:val="32"/>
        </w:rPr>
        <w:cr/>
      </w:r>
    </w:p>
    <w:p w14:paraId="166D2BB9">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1、组织情况</w:t>
      </w:r>
      <w:r>
        <w:rPr>
          <w:rFonts w:hint="eastAsia" w:ascii="仿宋_GB2312" w:hAnsi="宋体" w:eastAsia="仿宋_GB2312"/>
          <w:b/>
          <w:sz w:val="32"/>
          <w:szCs w:val="32"/>
        </w:rPr>
        <w:cr/>
      </w:r>
    </w:p>
    <w:p w14:paraId="240B15A5">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伊犁州工业和信息化局，根据2021年9个项目的绩效目标及工作内容，将其细化分工至本单位3个科室负责人，加强组织领导，明确分工，各司其职，抓好工作目标任务的落实完成，同时年中要求各科室负责人按照年初预算对本科室绩效工作进行自查自评，并报上半年工作情况总结，5月和8月对工作情况进行跟踪检查，确保绩效目标如期实现，不断提高财政资金配置和使用效益。</w:t>
      </w:r>
      <w:r>
        <w:rPr>
          <w:rFonts w:hint="eastAsia" w:ascii="仿宋_GB2312" w:hAnsi="宋体" w:eastAsia="仿宋_GB2312"/>
          <w:b/>
          <w:sz w:val="32"/>
          <w:szCs w:val="32"/>
        </w:rPr>
        <w:cr/>
      </w:r>
    </w:p>
    <w:p w14:paraId="35DFF76C">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2、管理情况</w:t>
      </w:r>
      <w:r>
        <w:rPr>
          <w:rFonts w:hint="eastAsia" w:ascii="仿宋_GB2312" w:hAnsi="宋体" w:eastAsia="仿宋_GB2312"/>
          <w:b/>
          <w:sz w:val="32"/>
          <w:szCs w:val="32"/>
        </w:rPr>
        <w:cr/>
      </w:r>
    </w:p>
    <w:p w14:paraId="19FDA5B3">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伊犁州工业和信息化局，实施的9个项目，由相关业务科室指派专人进行全过程跟踪管理，科室负责人统筹推进项目实施，单位领导不定期对项目进度进行调度，并对项目质量进行控制。</w:t>
      </w:r>
      <w:r>
        <w:rPr>
          <w:rFonts w:hint="eastAsia" w:ascii="仿宋_GB2312" w:hAnsi="宋体" w:eastAsia="仿宋_GB2312"/>
          <w:b/>
          <w:sz w:val="32"/>
          <w:szCs w:val="32"/>
        </w:rPr>
        <w:cr/>
      </w:r>
    </w:p>
    <w:p w14:paraId="5F6FAFFB">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3、监管情况</w:t>
      </w:r>
      <w:r>
        <w:rPr>
          <w:rFonts w:hint="eastAsia" w:ascii="仿宋_GB2312" w:hAnsi="宋体" w:eastAsia="仿宋_GB2312"/>
          <w:b/>
          <w:sz w:val="32"/>
          <w:szCs w:val="32"/>
        </w:rPr>
        <w:cr/>
      </w:r>
    </w:p>
    <w:p w14:paraId="69944D93">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安玉荣从项目实施方案、项目预算、项目建设进度、项目成本、项目验收等环节，全过程对项目进行监管，并向本部门/单位主要领导报告，以推进项目建设和提高项目质量，以发挥资金使用效益。</w:t>
      </w:r>
      <w:r>
        <w:rPr>
          <w:rFonts w:hint="eastAsia" w:ascii="仿宋_GB2312" w:hAnsi="宋体" w:eastAsia="仿宋_GB2312"/>
          <w:b/>
          <w:sz w:val="32"/>
          <w:szCs w:val="32"/>
        </w:rPr>
        <w:cr/>
      </w:r>
    </w:p>
    <w:p w14:paraId="419BAD2E">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(四)</w:t>
      </w:r>
      <w:r>
        <w:rPr>
          <w:rFonts w:hint="eastAsia" w:ascii="仿宋_GB2312" w:hAnsi="宋体" w:eastAsia="仿宋_GB2312"/>
          <w:b/>
          <w:sz w:val="32"/>
          <w:szCs w:val="32"/>
        </w:rPr>
        <w:tab/>
      </w:r>
      <w:r>
        <w:rPr>
          <w:rFonts w:hint="eastAsia" w:ascii="仿宋_GB2312" w:hAnsi="宋体" w:eastAsia="仿宋_GB2312"/>
          <w:b/>
          <w:sz w:val="32"/>
          <w:szCs w:val="32"/>
        </w:rPr>
        <w:t>绩效情况分析</w:t>
      </w:r>
      <w:r>
        <w:rPr>
          <w:rFonts w:hint="eastAsia" w:ascii="仿宋_GB2312" w:hAnsi="宋体" w:eastAsia="仿宋_GB2312"/>
          <w:b/>
          <w:sz w:val="32"/>
          <w:szCs w:val="32"/>
        </w:rPr>
        <w:cr/>
      </w:r>
    </w:p>
    <w:p w14:paraId="4CB0A17D">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1、成本控制情况</w:t>
      </w:r>
      <w:r>
        <w:rPr>
          <w:rFonts w:hint="eastAsia" w:ascii="仿宋_GB2312" w:hAnsi="宋体" w:eastAsia="仿宋_GB2312"/>
          <w:b/>
          <w:sz w:val="32"/>
          <w:szCs w:val="32"/>
        </w:rPr>
        <w:cr/>
      </w:r>
    </w:p>
    <w:p w14:paraId="7902E1EE">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伊犁工业和信息化局，所涉及专项项目均已于专项资金下达后按照资金文件及绩效管理要求设置《项目绩效目标表》。9个专项项目预算总额为368.34万元，在项目实施过程中，业务人员加强项目管理，合理控制项目成本，截止项目结束，9个项目总成本为348.96万元，不存在超支情况。</w:t>
      </w:r>
      <w:r>
        <w:rPr>
          <w:rFonts w:hint="eastAsia" w:ascii="仿宋_GB2312" w:hAnsi="宋体" w:eastAsia="仿宋_GB2312"/>
          <w:b/>
          <w:sz w:val="32"/>
          <w:szCs w:val="32"/>
        </w:rPr>
        <w:cr/>
      </w:r>
    </w:p>
    <w:p w14:paraId="70F86B4A">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2、成本节约情况</w:t>
      </w:r>
      <w:r>
        <w:rPr>
          <w:rFonts w:hint="eastAsia" w:ascii="仿宋_GB2312" w:hAnsi="宋体" w:eastAsia="仿宋_GB2312"/>
          <w:b/>
          <w:sz w:val="32"/>
          <w:szCs w:val="32"/>
        </w:rPr>
        <w:cr/>
      </w:r>
    </w:p>
    <w:p w14:paraId="10BA88DD">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伊犁州工业和信息化局，所涉及专项项目使用资金比专项项目总预算减少19.38万元，项目节约率为5.26%。</w:t>
      </w:r>
      <w:r>
        <w:rPr>
          <w:rFonts w:hint="eastAsia" w:ascii="仿宋_GB2312" w:hAnsi="宋体" w:eastAsia="仿宋_GB2312"/>
          <w:b/>
          <w:sz w:val="32"/>
          <w:szCs w:val="32"/>
        </w:rPr>
        <w:cr/>
      </w:r>
    </w:p>
    <w:p w14:paraId="02DEEC73">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(五)</w:t>
      </w:r>
      <w:r>
        <w:rPr>
          <w:rFonts w:hint="eastAsia" w:ascii="仿宋_GB2312" w:hAnsi="宋体" w:eastAsia="仿宋_GB2312"/>
          <w:b/>
          <w:sz w:val="32"/>
          <w:szCs w:val="32"/>
        </w:rPr>
        <w:tab/>
      </w:r>
      <w:r>
        <w:rPr>
          <w:rFonts w:hint="eastAsia" w:ascii="仿宋_GB2312" w:hAnsi="宋体" w:eastAsia="仿宋_GB2312"/>
          <w:b/>
          <w:sz w:val="32"/>
          <w:szCs w:val="32"/>
        </w:rPr>
        <w:t>项目效率性分析</w:t>
      </w:r>
      <w:r>
        <w:rPr>
          <w:rFonts w:hint="eastAsia" w:ascii="仿宋_GB2312" w:hAnsi="宋体" w:eastAsia="仿宋_GB2312"/>
          <w:b/>
          <w:sz w:val="32"/>
          <w:szCs w:val="32"/>
        </w:rPr>
        <w:cr/>
      </w:r>
    </w:p>
    <w:p w14:paraId="0C938576">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1、实施进度</w:t>
      </w:r>
      <w:r>
        <w:rPr>
          <w:rFonts w:hint="eastAsia" w:ascii="仿宋_GB2312" w:hAnsi="宋体" w:eastAsia="仿宋_GB2312"/>
          <w:b/>
          <w:sz w:val="32"/>
          <w:szCs w:val="32"/>
        </w:rPr>
        <w:cr/>
      </w:r>
    </w:p>
    <w:p w14:paraId="3172681D">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2021年伊犁州工业和信息化局共涉及专项项目9个，截止到2021年底，通过专项项目实施过程中的有效监督，我单位按预期完成了9个专项的各项专项任务，项目总体完成率为100.00%。</w:t>
      </w:r>
      <w:r>
        <w:rPr>
          <w:rFonts w:hint="eastAsia" w:ascii="仿宋_GB2312" w:hAnsi="宋体" w:eastAsia="仿宋_GB2312"/>
          <w:b/>
          <w:sz w:val="32"/>
          <w:szCs w:val="32"/>
        </w:rPr>
        <w:cr/>
      </w:r>
    </w:p>
    <w:p w14:paraId="648E448E">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2、完成质量</w:t>
      </w:r>
      <w:r>
        <w:rPr>
          <w:rFonts w:hint="eastAsia" w:ascii="仿宋_GB2312" w:hAnsi="宋体" w:eastAsia="仿宋_GB2312"/>
          <w:b/>
          <w:sz w:val="32"/>
          <w:szCs w:val="32"/>
        </w:rPr>
        <w:cr/>
      </w:r>
    </w:p>
    <w:p w14:paraId="3972250A">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9个专项项目完成质量情况如下：</w:t>
      </w:r>
      <w:r>
        <w:rPr>
          <w:rFonts w:hint="eastAsia" w:ascii="仿宋_GB2312" w:hAnsi="宋体" w:eastAsia="仿宋_GB2312"/>
          <w:b/>
          <w:sz w:val="32"/>
          <w:szCs w:val="32"/>
        </w:rPr>
        <w:cr/>
      </w:r>
    </w:p>
    <w:p w14:paraId="31BD7B61">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①2021年度自治区中小微企业发展专项资金完成：发布信息500条以上，企业关注浏览量达3000人次以上，有效普及中小企业理企政策。；</w:t>
      </w:r>
      <w:r>
        <w:rPr>
          <w:rFonts w:hint="eastAsia" w:ascii="仿宋_GB2312" w:hAnsi="宋体" w:eastAsia="仿宋_GB2312"/>
          <w:b/>
          <w:sz w:val="32"/>
          <w:szCs w:val="32"/>
        </w:rPr>
        <w:cr/>
      </w:r>
    </w:p>
    <w:p w14:paraId="67F538D3">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②2021年伊犁州产业园区规划编制项目完成《伊犁州直产业布局与新型工业化发展“十四五”规划》和《伊犁州直产业园区高质量发展“十四五”规划》，并通过专家组验收。</w:t>
      </w:r>
      <w:r>
        <w:rPr>
          <w:rFonts w:hint="eastAsia" w:ascii="仿宋_GB2312" w:hAnsi="宋体" w:eastAsia="仿宋_GB2312"/>
          <w:b/>
          <w:sz w:val="32"/>
          <w:szCs w:val="32"/>
        </w:rPr>
        <w:cr/>
      </w:r>
    </w:p>
    <w:p w14:paraId="4E10E24B">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③创客大赛项目完成报名参加项目企业数量21家，其中企业组15家，创客组6家。参与率为100%。其中，专精特新“小巨人”企业2家；6月22日前完成选拔赛的实施，组织参赛企业进行赛前辅导不少于2次，举办线上选拔赛1场；推荐入围自治区半决赛项目数量不少于5个；7月30日前完成赛后相关服务活动，包括赛后组织企业进行半决赛赛前培训5次，培训人数21人、融资辅导、创新创业指导等资源对接活动5场，服务企业数量21家。</w:t>
      </w:r>
      <w:r>
        <w:rPr>
          <w:rFonts w:hint="eastAsia" w:ascii="仿宋_GB2312" w:hAnsi="宋体" w:eastAsia="仿宋_GB2312"/>
          <w:b/>
          <w:sz w:val="32"/>
          <w:szCs w:val="32"/>
        </w:rPr>
        <w:cr/>
      </w:r>
    </w:p>
    <w:p w14:paraId="3558B211">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④第十七届中国国际中小企业博览会专项支出项目完成参加为期4天的第十七届中国国际中小企业博览会已圆满结束，达成洽谈意向5家，向国内外企业和游客发放宣传手册，利用展馆LED屏播放宣传动画，推广伊犁州“专精特新”企业成果。</w:t>
      </w:r>
      <w:r>
        <w:rPr>
          <w:rFonts w:hint="eastAsia" w:ascii="仿宋_GB2312" w:hAnsi="宋体" w:eastAsia="仿宋_GB2312"/>
          <w:b/>
          <w:sz w:val="32"/>
          <w:szCs w:val="32"/>
        </w:rPr>
        <w:cr/>
      </w:r>
    </w:p>
    <w:p w14:paraId="2E34B268">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⑤伊犁州“千人千企（项目）”派驻干部补助专项经费完成包联188家规上工业企业和762个在建项目，在建项目及规上企业包联干部人数达554人，共计发放补助金额67.34万元，带动就业人数44028人，有效推进了企业增产达效，督促企业和在建项目做好疫情防控、安全生产工作，落实惠企纾困政策，帮助规上企业争取享受各项补助政策。2021年3月25日和4月22日及时发放2020年11月和12月的选派领导部的生活补助。</w:t>
      </w:r>
      <w:r>
        <w:rPr>
          <w:rFonts w:hint="eastAsia" w:ascii="仿宋_GB2312" w:hAnsi="宋体" w:eastAsia="仿宋_GB2312"/>
          <w:b/>
          <w:sz w:val="32"/>
          <w:szCs w:val="32"/>
        </w:rPr>
        <w:cr/>
      </w:r>
    </w:p>
    <w:p w14:paraId="50404CC7">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⑥伊犁州馕产品展销推介会项目完成举办活动场次1次，为期7天，有75人参展，制作展销推介展板及视频18个，有效推进了各大型企业、新疆驻京机构和京津冀地区新疆特色餐厅等单位建立合作关系。推介会上共签订合作协议10家，签约金额9720万元。通过“贺局长说伊犁”抖音账号，7天线上销售馕产品29.4万单，销售额2100万元。</w:t>
      </w:r>
      <w:r>
        <w:rPr>
          <w:rFonts w:hint="eastAsia" w:ascii="仿宋_GB2312" w:hAnsi="宋体" w:eastAsia="仿宋_GB2312"/>
          <w:b/>
          <w:sz w:val="32"/>
          <w:szCs w:val="32"/>
        </w:rPr>
        <w:cr/>
      </w:r>
    </w:p>
    <w:p w14:paraId="50AAEFA7">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⑦伊犁州园区经费项目完成考察学习2次，调研6次，培训20人，办公用品设置4次，圆满完成了购买办公用品、赴各产业园区调研督导、组织园区干部开展业务培训和考察学习等活动。</w:t>
      </w:r>
      <w:r>
        <w:rPr>
          <w:rFonts w:hint="eastAsia" w:ascii="仿宋_GB2312" w:hAnsi="宋体" w:eastAsia="仿宋_GB2312"/>
          <w:b/>
          <w:sz w:val="32"/>
          <w:szCs w:val="32"/>
        </w:rPr>
        <w:cr/>
      </w:r>
    </w:p>
    <w:p w14:paraId="3C5A54D2">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⑧伊犁州中小企业银河培训项目完成培训1次，培训4天，培训人数600人次。</w:t>
      </w:r>
      <w:r>
        <w:rPr>
          <w:rFonts w:hint="eastAsia" w:ascii="仿宋_GB2312" w:hAnsi="宋体" w:eastAsia="仿宋_GB2312"/>
          <w:b/>
          <w:sz w:val="32"/>
          <w:szCs w:val="32"/>
        </w:rPr>
        <w:cr/>
      </w:r>
    </w:p>
    <w:p w14:paraId="333DF681">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⑨中央财政中小企业发展专项支持</w:t>
      </w:r>
      <w:r>
        <w:rPr>
          <w:rFonts w:hint="eastAsia" w:ascii="仿宋_GB2312" w:hAnsi="宋体" w:eastAsia="仿宋_GB2312"/>
          <w:b/>
          <w:sz w:val="32"/>
          <w:szCs w:val="32"/>
          <w:lang w:eastAsia="zh-CN"/>
        </w:rPr>
        <w:t>专精特新中小企业</w:t>
      </w:r>
      <w:r>
        <w:rPr>
          <w:rFonts w:hint="eastAsia" w:ascii="仿宋_GB2312" w:hAnsi="宋体" w:eastAsia="仿宋_GB2312"/>
          <w:b/>
          <w:sz w:val="32"/>
          <w:szCs w:val="32"/>
        </w:rPr>
        <w:t>高质量发展奖补资金项目，完成</w:t>
      </w:r>
      <w:r>
        <w:rPr>
          <w:rFonts w:hint="eastAsia" w:ascii="仿宋_GB2312" w:hAnsi="宋体" w:eastAsia="仿宋_GB2312"/>
          <w:b/>
          <w:sz w:val="32"/>
          <w:szCs w:val="32"/>
          <w:lang w:eastAsia="zh-CN"/>
        </w:rPr>
        <w:t>专精特新中小企业</w:t>
      </w:r>
      <w:r>
        <w:rPr>
          <w:rFonts w:hint="eastAsia" w:ascii="仿宋_GB2312" w:hAnsi="宋体" w:eastAsia="仿宋_GB2312"/>
          <w:b/>
          <w:sz w:val="32"/>
          <w:szCs w:val="32"/>
        </w:rPr>
        <w:t>高质量发展，其中（新疆中超新能源电力科技有限公司（通过拍摄企 业推广视频的方式提升企业形象，并运用于企业宣传的各个方 面；租用云服务器，制作企业官网、申请制作公众号或小程序， 展示企业综合实力、科研成果，并拓宽销售渠道；通过线下服务 资源为企业拓展销售渠道及客户） 新疆西尔丹食品有限公司（通过电商代运营的方式为企业在 线上拓展销售渠道，提升产品知名度） 旭日环保集团股份有限公司（通过线下服务资源为企业提供 项目对接服务）新疆蓝山屯河型材有限公司（租用云服务器，为企业开发官 网，并在其他第三方行业门户为企业提供线上产品展示，通过线 下服务资源为企业提供项目对接服务）。</w:t>
      </w:r>
      <w:r>
        <w:rPr>
          <w:rFonts w:hint="eastAsia" w:ascii="仿宋_GB2312" w:hAnsi="宋体" w:eastAsia="仿宋_GB2312"/>
          <w:b/>
          <w:sz w:val="32"/>
          <w:szCs w:val="32"/>
        </w:rPr>
        <w:cr/>
      </w:r>
    </w:p>
    <w:p w14:paraId="37CF4C8B">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(六)</w:t>
      </w:r>
      <w:r>
        <w:rPr>
          <w:rFonts w:hint="eastAsia" w:ascii="仿宋_GB2312" w:hAnsi="宋体" w:eastAsia="仿宋_GB2312"/>
          <w:b/>
          <w:sz w:val="32"/>
          <w:szCs w:val="32"/>
        </w:rPr>
        <w:tab/>
      </w:r>
      <w:r>
        <w:rPr>
          <w:rFonts w:hint="eastAsia" w:ascii="仿宋_GB2312" w:hAnsi="宋体" w:eastAsia="仿宋_GB2312"/>
          <w:b/>
          <w:sz w:val="32"/>
          <w:szCs w:val="32"/>
        </w:rPr>
        <w:t>项目效益性分析</w:t>
      </w:r>
      <w:r>
        <w:rPr>
          <w:rFonts w:hint="eastAsia" w:ascii="仿宋_GB2312" w:hAnsi="宋体" w:eastAsia="仿宋_GB2312"/>
          <w:b/>
          <w:sz w:val="32"/>
          <w:szCs w:val="32"/>
        </w:rPr>
        <w:cr/>
      </w:r>
    </w:p>
    <w:p w14:paraId="772F698D">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9个专项项目预期目标完成程度、实施对经济和社会的影响如下：</w:t>
      </w:r>
      <w:r>
        <w:rPr>
          <w:rFonts w:hint="eastAsia" w:ascii="仿宋_GB2312" w:hAnsi="宋体" w:eastAsia="仿宋_GB2312"/>
          <w:b/>
          <w:sz w:val="32"/>
          <w:szCs w:val="32"/>
        </w:rPr>
        <w:cr/>
      </w:r>
    </w:p>
    <w:p w14:paraId="2023B625">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1、2021年度自治区中小微企业发展专项资金完成普及中小企业惠企政策有效普及；</w:t>
      </w:r>
      <w:r>
        <w:rPr>
          <w:rFonts w:hint="eastAsia" w:ascii="仿宋_GB2312" w:hAnsi="宋体" w:eastAsia="仿宋_GB2312"/>
          <w:b/>
          <w:sz w:val="32"/>
          <w:szCs w:val="32"/>
        </w:rPr>
        <w:cr/>
      </w:r>
    </w:p>
    <w:p w14:paraId="73616751">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2、2021年伊犁州产业园区规划编制项目完成《2021年伊犁州工信局“十四五”工业规划》为产业发展提供理论支撑有效提供；</w:t>
      </w:r>
      <w:r>
        <w:rPr>
          <w:rFonts w:hint="eastAsia" w:ascii="仿宋_GB2312" w:hAnsi="宋体" w:eastAsia="仿宋_GB2312"/>
          <w:b/>
          <w:sz w:val="32"/>
          <w:szCs w:val="32"/>
        </w:rPr>
        <w:cr/>
      </w:r>
    </w:p>
    <w:p w14:paraId="262380DE">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3、创客大赛项目完成带动就业人数21人；</w:t>
      </w:r>
      <w:r>
        <w:rPr>
          <w:rFonts w:hint="eastAsia" w:ascii="仿宋_GB2312" w:hAnsi="宋体" w:eastAsia="仿宋_GB2312"/>
          <w:b/>
          <w:sz w:val="32"/>
          <w:szCs w:val="32"/>
        </w:rPr>
        <w:cr/>
      </w:r>
    </w:p>
    <w:p w14:paraId="26082DA0">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4、第十七届中国国际中小企业博览会专项支出项目完成推进伊犁州与兄弟省市合作交流及洽谈有效推动，带动伊犁州中小企业发展有效带动；</w:t>
      </w:r>
      <w:r>
        <w:rPr>
          <w:rFonts w:hint="eastAsia" w:ascii="仿宋_GB2312" w:hAnsi="宋体" w:eastAsia="仿宋_GB2312"/>
          <w:b/>
          <w:sz w:val="32"/>
          <w:szCs w:val="32"/>
        </w:rPr>
        <w:cr/>
      </w:r>
    </w:p>
    <w:p w14:paraId="6660F142">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5、伊犁州“千人千企（项目）”派驻干部补助专项经费完成规上企业带动就业人数44028人，推动企业增产达效有效推动；</w:t>
      </w:r>
      <w:r>
        <w:rPr>
          <w:rFonts w:hint="eastAsia" w:ascii="仿宋_GB2312" w:hAnsi="宋体" w:eastAsia="仿宋_GB2312"/>
          <w:b/>
          <w:sz w:val="32"/>
          <w:szCs w:val="32"/>
        </w:rPr>
        <w:cr/>
      </w:r>
    </w:p>
    <w:p w14:paraId="762B2B0C">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6、伊犁州馕产品展销推介会项目完成推进各大型企业、新疆驻京机构和京津冀地区新疆特色餐厅等单位建立合作关系有效推进；</w:t>
      </w:r>
      <w:r>
        <w:rPr>
          <w:rFonts w:hint="eastAsia" w:ascii="仿宋_GB2312" w:hAnsi="宋体" w:eastAsia="仿宋_GB2312"/>
          <w:b/>
          <w:sz w:val="32"/>
          <w:szCs w:val="32"/>
        </w:rPr>
        <w:cr/>
      </w:r>
    </w:p>
    <w:p w14:paraId="375C51F9">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7、伊犁州园区经费项目完成推进自治州产业园区建设有效推动；</w:t>
      </w:r>
      <w:r>
        <w:rPr>
          <w:rFonts w:hint="eastAsia" w:ascii="仿宋_GB2312" w:hAnsi="宋体" w:eastAsia="仿宋_GB2312"/>
          <w:b/>
          <w:sz w:val="32"/>
          <w:szCs w:val="32"/>
        </w:rPr>
        <w:cr/>
      </w:r>
    </w:p>
    <w:p w14:paraId="79A59104">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8、伊犁州中小企业银河培训项目完成提升中小企业人才素质有效提升；</w:t>
      </w:r>
      <w:r>
        <w:rPr>
          <w:rFonts w:hint="eastAsia" w:ascii="仿宋_GB2312" w:hAnsi="宋体" w:eastAsia="仿宋_GB2312"/>
          <w:b/>
          <w:sz w:val="32"/>
          <w:szCs w:val="32"/>
        </w:rPr>
        <w:cr/>
      </w:r>
    </w:p>
    <w:p w14:paraId="3817947E">
      <w:pPr>
        <w:spacing w:line="600" w:lineRule="exact"/>
        <w:ind w:firstLine="803" w:firstLineChars="250"/>
        <w:jc w:val="left"/>
        <w:rPr>
          <w:rFonts w:ascii="仿宋_GB2312" w:hAnsi="宋体" w:eastAsia="仿宋_GB2312"/>
          <w:b/>
          <w:sz w:val="32"/>
          <w:szCs w:val="32"/>
        </w:rPr>
      </w:pPr>
      <w:r>
        <w:rPr>
          <w:rFonts w:hint="eastAsia" w:ascii="仿宋_GB2312" w:hAnsi="宋体" w:eastAsia="仿宋_GB2312"/>
          <w:b/>
          <w:sz w:val="32"/>
          <w:szCs w:val="32"/>
        </w:rPr>
        <w:t>9、中央财政中小企业发展专项支持</w:t>
      </w:r>
      <w:r>
        <w:rPr>
          <w:rFonts w:hint="eastAsia" w:ascii="仿宋_GB2312" w:hAnsi="宋体" w:eastAsia="仿宋_GB2312"/>
          <w:b/>
          <w:sz w:val="32"/>
          <w:szCs w:val="32"/>
          <w:lang w:eastAsia="zh-CN"/>
        </w:rPr>
        <w:t>专精特新中小企业</w:t>
      </w:r>
      <w:r>
        <w:rPr>
          <w:rFonts w:hint="eastAsia" w:ascii="仿宋_GB2312" w:hAnsi="宋体" w:eastAsia="仿宋_GB2312"/>
          <w:b/>
          <w:sz w:val="32"/>
          <w:szCs w:val="32"/>
        </w:rPr>
        <w:t>高质量发展奖补资金项目完成；</w:t>
      </w:r>
    </w:p>
    <w:p w14:paraId="77428961">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资产管理情况</w:t>
      </w:r>
    </w:p>
    <w:p w14:paraId="6EFB84D8">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（一）资产配置情况</w:t>
      </w:r>
    </w:p>
    <w:p w14:paraId="1413BFB5">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2021年我单位资产总额728.58万元，其中流动资产140.13万元（其中库存现金0.0012万元，其他应收款124.61万元，在建工程15.52万元），固定资产净值588.44万元（其中：土地、房屋及构筑物478.46万元，占固定资产净值的81.31%；通用设备73.80万元，占固定资产净值的12.54%；专用设备13.07万元，占固定资产净值的2.22%，家具、用具、装具及动植物23.12万元，占固定资产净值的3.93%）。</w:t>
      </w:r>
    </w:p>
    <w:p w14:paraId="4FA6DDFE">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本年度流动资产140.13万元，比上年减少71.18万元，原因是：其他应收款减少。</w:t>
      </w:r>
    </w:p>
    <w:p w14:paraId="0B86336D">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本年度固定资产588.44万元，比上年增加减少18.90万元，原因是：不能使用的固定资产进行了核销。</w:t>
      </w:r>
    </w:p>
    <w:p w14:paraId="7F97A728">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实际在用固定资产588.44万元，固定资产利用率100.00%。</w:t>
      </w:r>
    </w:p>
    <w:p w14:paraId="1FD3DA08">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（二）资产管理情况</w:t>
      </w:r>
    </w:p>
    <w:p w14:paraId="7750A660">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1、固定资产按照“谁使用、谁负责”的原则，一年一次盘点，使用人在登记卡上签字确认。固定资产严格按照内部控制规范、《资产管理办法》、《政府采购管理办法》进行配置和处置。严格按照财务管理的相关要求，制定了《固定资产管理办法》、《货币资金管理制度》和《政府采购管理办法》等固定资产和办公用品使用、审批、稽核的内部管理规范。</w:t>
      </w:r>
    </w:p>
    <w:p w14:paraId="31FB7DBA">
      <w:pPr>
        <w:spacing w:line="600" w:lineRule="exact"/>
        <w:ind w:left="648" w:firstLine="643" w:firstLineChars="200"/>
        <w:jc w:val="left"/>
        <w:rPr>
          <w:rFonts w:ascii="仿宋_GB2312" w:hAnsi="宋体" w:eastAsia="仿宋_GB2312"/>
          <w:b/>
          <w:sz w:val="32"/>
          <w:szCs w:val="32"/>
        </w:rPr>
      </w:pPr>
      <w:r>
        <w:rPr>
          <w:rFonts w:hint="eastAsia" w:ascii="仿宋_GB2312" w:hAnsi="宋体" w:eastAsia="仿宋_GB2312"/>
          <w:b/>
          <w:sz w:val="32"/>
          <w:szCs w:val="32"/>
        </w:rPr>
        <w:t>2、流动资产根据《行政事业单位资产管理制度》，对货币资金加强管理，统一设立银行存款账户，未经财政主管部门同意不允许单独设立财政监管以外的银行存款账户；现金开支按照规定开支范围支付，对出纳工作具有很强的原则性。因此，出纳人员在经管现金时，严格遵守国家的现金管理规定，正确及时核算和监督现金收支及结存情况，保证现金的安全；预借款管理，按照规定填写《借款单》，经单位负责人审签，由财务负责人签字后报主管财务领导审批，非公务活动一律不得借款，并要求在规定得时间内及时结账。</w:t>
      </w:r>
    </w:p>
    <w:p w14:paraId="47C28FE5">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部门单位整体支出绩效情况</w:t>
      </w:r>
    </w:p>
    <w:p w14:paraId="7F823731">
      <w:pPr>
        <w:spacing w:line="600" w:lineRule="exact"/>
        <w:ind w:firstLine="1120" w:firstLineChars="350"/>
        <w:jc w:val="left"/>
        <w:rPr>
          <w:rFonts w:hint="eastAsia" w:ascii="仿宋_GB2312" w:hAnsi="宋体" w:eastAsia="仿宋_GB2312"/>
          <w:b/>
          <w:sz w:val="32"/>
          <w:szCs w:val="32"/>
          <w:lang w:eastAsia="zh-CN"/>
        </w:rPr>
      </w:pPr>
      <w:r>
        <w:rPr>
          <w:rFonts w:hint="eastAsia" w:ascii="黑体" w:hAnsi="黑体" w:eastAsia="黑体" w:cs="宋体"/>
          <w:bCs/>
          <w:color w:val="333333"/>
          <w:sz w:val="32"/>
          <w:szCs w:val="32"/>
          <w:lang w:bidi="ar"/>
        </w:rPr>
        <w:t xml:space="preserve"> </w:t>
      </w:r>
      <w:r>
        <w:rPr>
          <w:rFonts w:hint="eastAsia" w:ascii="仿宋_GB2312" w:hAnsi="宋体" w:eastAsia="仿宋_GB2312"/>
          <w:b/>
          <w:sz w:val="32"/>
          <w:szCs w:val="32"/>
        </w:rPr>
        <w:t>（一）经济效益评价</w:t>
      </w:r>
      <w:r>
        <w:rPr>
          <w:rFonts w:hint="eastAsia" w:ascii="仿宋_GB2312" w:hAnsi="宋体" w:eastAsia="仿宋_GB2312"/>
          <w:b/>
          <w:sz w:val="32"/>
          <w:szCs w:val="32"/>
        </w:rPr>
        <w:cr/>
      </w:r>
    </w:p>
    <w:p w14:paraId="1A75AFB4">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2021年度我单位年初预算安排866.60万元，年中调整490.19万元，截止12月底支出1331.51万元，执行率98.14%。</w:t>
      </w:r>
      <w:r>
        <w:rPr>
          <w:rFonts w:hint="eastAsia" w:ascii="仿宋_GB2312" w:hAnsi="宋体" w:eastAsia="仿宋_GB2312"/>
          <w:b/>
          <w:sz w:val="32"/>
          <w:szCs w:val="32"/>
        </w:rPr>
        <w:cr/>
      </w:r>
    </w:p>
    <w:p w14:paraId="33D06E03">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1、预算资金执行过程中均按照年初预算分配情况均做到专款专用，未出现资金侵、挪占情况。</w:t>
      </w:r>
      <w:r>
        <w:rPr>
          <w:rFonts w:hint="eastAsia" w:ascii="仿宋_GB2312" w:hAnsi="宋体" w:eastAsia="仿宋_GB2312"/>
          <w:b/>
          <w:sz w:val="32"/>
          <w:szCs w:val="32"/>
        </w:rPr>
        <w:cr/>
      </w:r>
    </w:p>
    <w:p w14:paraId="4060E86B">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2、全年按照部门预算进行成本控制，全部控制在厉行节约指标数内。其他支出按财政部门下达的计划实施，全年没有项目超支。</w:t>
      </w:r>
      <w:r>
        <w:rPr>
          <w:rFonts w:hint="eastAsia" w:ascii="仿宋_GB2312" w:hAnsi="宋体" w:eastAsia="仿宋_GB2312"/>
          <w:b/>
          <w:sz w:val="32"/>
          <w:szCs w:val="32"/>
        </w:rPr>
        <w:cr/>
      </w:r>
    </w:p>
    <w:p w14:paraId="41F01266">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（二）效率性评价</w:t>
      </w:r>
      <w:r>
        <w:rPr>
          <w:rFonts w:hint="eastAsia" w:ascii="仿宋_GB2312" w:hAnsi="宋体" w:eastAsia="仿宋_GB2312"/>
          <w:b/>
          <w:sz w:val="32"/>
          <w:szCs w:val="32"/>
        </w:rPr>
        <w:cr/>
      </w:r>
    </w:p>
    <w:p w14:paraId="688D9D60">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2021年，在伊犁自治区党委的大力支持和伊犁州党委的正确领导下，我单位迎难而上、务实重干，积极推动各项工作取得了新的进展，为促进经济持续健康发展与社会和谐稳定提供了有力的资金支撑和保障。</w:t>
      </w:r>
      <w:r>
        <w:rPr>
          <w:rFonts w:hint="eastAsia" w:ascii="仿宋_GB2312" w:hAnsi="宋体" w:eastAsia="仿宋_GB2312"/>
          <w:b/>
          <w:sz w:val="32"/>
          <w:szCs w:val="32"/>
        </w:rPr>
        <w:cr/>
      </w:r>
    </w:p>
    <w:p w14:paraId="39F943C5">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1、圆满完成《伊犁州直产业布局与新型工业化发展“十四五”规划》和《伊犁州直产业园区高质量发展“十四五”规划》编制工作。</w:t>
      </w:r>
      <w:r>
        <w:rPr>
          <w:rFonts w:hint="eastAsia" w:ascii="仿宋_GB2312" w:hAnsi="宋体" w:eastAsia="仿宋_GB2312"/>
          <w:b/>
          <w:sz w:val="32"/>
          <w:szCs w:val="32"/>
        </w:rPr>
        <w:cr/>
      </w:r>
    </w:p>
    <w:p w14:paraId="41C741CA">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伊犁州政府下达的《伊犁州直产业布局与新型工业化发展“十四五”规划》和《伊犁州直产业园区高质量发展“十四五”规划》编制全面完成。</w:t>
      </w:r>
      <w:r>
        <w:rPr>
          <w:rFonts w:hint="eastAsia" w:ascii="仿宋_GB2312" w:hAnsi="宋体" w:eastAsia="仿宋_GB2312"/>
          <w:b/>
          <w:sz w:val="32"/>
          <w:szCs w:val="32"/>
        </w:rPr>
        <w:cr/>
      </w:r>
    </w:p>
    <w:p w14:paraId="2633A42A">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2、2020年11-12月伊犁州“千人千企（项目）”派驻干部补助专项经费补助发放工作提前完成</w:t>
      </w:r>
      <w:r>
        <w:rPr>
          <w:rFonts w:hint="eastAsia" w:ascii="仿宋_GB2312" w:hAnsi="宋体" w:eastAsia="仿宋_GB2312"/>
          <w:b/>
          <w:sz w:val="32"/>
          <w:szCs w:val="32"/>
        </w:rPr>
        <w:cr/>
      </w:r>
    </w:p>
    <w:p w14:paraId="65C3025A">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伊犁州“千人千企（项目）”派驻干部补助专项经费补助发放啊作于2021年4月25日提前完成。</w:t>
      </w:r>
      <w:r>
        <w:rPr>
          <w:rFonts w:hint="eastAsia" w:ascii="仿宋_GB2312" w:hAnsi="宋体" w:eastAsia="仿宋_GB2312"/>
          <w:b/>
          <w:sz w:val="32"/>
          <w:szCs w:val="32"/>
        </w:rPr>
        <w:cr/>
      </w:r>
    </w:p>
    <w:p w14:paraId="344726C2">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3、</w:t>
      </w:r>
      <w:r>
        <w:rPr>
          <w:rFonts w:hint="eastAsia" w:ascii="仿宋_GB2312" w:hAnsi="宋体" w:eastAsia="仿宋_GB2312"/>
          <w:b/>
          <w:sz w:val="32"/>
          <w:szCs w:val="32"/>
        </w:rPr>
        <w:tab/>
      </w:r>
      <w:r>
        <w:rPr>
          <w:rFonts w:hint="eastAsia" w:ascii="仿宋_GB2312" w:hAnsi="宋体" w:eastAsia="仿宋_GB2312"/>
          <w:b/>
          <w:sz w:val="32"/>
          <w:szCs w:val="32"/>
        </w:rPr>
        <w:t>伊犁州中小企业银河培训项目成效显著</w:t>
      </w:r>
      <w:r>
        <w:rPr>
          <w:rFonts w:hint="eastAsia" w:ascii="仿宋_GB2312" w:hAnsi="宋体" w:eastAsia="仿宋_GB2312"/>
          <w:b/>
          <w:sz w:val="32"/>
          <w:szCs w:val="32"/>
        </w:rPr>
        <w:cr/>
      </w:r>
    </w:p>
    <w:p w14:paraId="3CC5BFE7">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伊犁州中小企业银河培训项目坚持“政府引导、市场运作”的原则，以提高中小企业经营管理和创业创新能力为目标，以培育优秀企业家和企业经营管理人才为重点，深入实施中小企业人才素质提升工程，努力为提高中小企业综合素质和核心竞争力，提升培训人数达600人以上，中小企业人才素质明显提升。</w:t>
      </w:r>
      <w:r>
        <w:rPr>
          <w:rFonts w:hint="eastAsia" w:ascii="仿宋_GB2312" w:hAnsi="宋体" w:eastAsia="仿宋_GB2312"/>
          <w:b/>
          <w:sz w:val="32"/>
          <w:szCs w:val="32"/>
        </w:rPr>
        <w:cr/>
      </w:r>
    </w:p>
    <w:p w14:paraId="7906C7D1">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4、2021年州直战略性新兴产业实现产值139.1亿元，增长52%，硅基产业产值达64.02亿元，增长79%，州直资源密集产业实现产值404.68亿元，增长37.8%。实施基础设施项目189个，完成投资95.1亿元，修建道路94公里，供排水管网115公里，供电线路51公里。州直产业园区完成工业总产值681.7亿元，完成目标任务的114%。州直纺织服装企业达85家，产值达48.44亿元，增长54.7%，州直农业产业化龙头企业达149家，实现产值35亿元，2021年，州直规模以上工业企业达到235家，年内小升规企业46家，创历史新高，规模以上工业实现增加值201.1亿元，同比增长19%，带动就业4.5万元。群众满意度高。</w:t>
      </w:r>
      <w:r>
        <w:rPr>
          <w:rFonts w:hint="eastAsia" w:ascii="仿宋_GB2312" w:hAnsi="宋体" w:eastAsia="仿宋_GB2312"/>
          <w:b/>
          <w:sz w:val="32"/>
          <w:szCs w:val="32"/>
        </w:rPr>
        <w:cr/>
      </w:r>
    </w:p>
    <w:p w14:paraId="49D05DB0">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（三）有效性评价</w:t>
      </w:r>
      <w:r>
        <w:rPr>
          <w:rFonts w:hint="eastAsia" w:ascii="仿宋_GB2312" w:hAnsi="宋体" w:eastAsia="仿宋_GB2312"/>
          <w:b/>
          <w:sz w:val="32"/>
          <w:szCs w:val="32"/>
        </w:rPr>
        <w:cr/>
      </w:r>
    </w:p>
    <w:p w14:paraId="43F495A3">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2021年部门支出的有效性主要体现在我单位各项工作成效上，一是整体预算进一步夯实，二是部门整体支出管理能力进一步提升，三是预算收支管理进一步改善，四是充分运用分析评价指导项目绩效工作进一步提高，五是预算执行力度进一步推进，六是管理水平进一步增强，详细情况如下：</w:t>
      </w:r>
      <w:r>
        <w:rPr>
          <w:rFonts w:hint="eastAsia" w:ascii="仿宋_GB2312" w:hAnsi="宋体" w:eastAsia="仿宋_GB2312"/>
          <w:b/>
          <w:sz w:val="32"/>
          <w:szCs w:val="32"/>
        </w:rPr>
        <w:cr/>
      </w:r>
    </w:p>
    <w:p w14:paraId="78356BFA">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 xml:space="preserve">负责监测、分析自治州工业经济运行态势、调节工业经济运行。负责园区建设管理综合协调工作。负责协调推进纺织服装产业带动就业工作。负责工业企业节能降耗监督管理工作。负责工业企业招商引资工作。2021年州直战略性新兴产业实现产值139.1亿元，增长52%，硅基产业产值达64.02亿元，增长79%，州直资源密集产业实现产值404.68亿元，增长37.8%。实施基础设施项目189个，完成投资95.1亿元，修建道路94公里，供排水管网115公里，供电线路51公里。州直产业园区完成工业总产值681.7亿元，完成目标任务的114%。州直纺织服装企业达85家，产值达48.44亿元，增长54.7%，州直农业产业化龙头企业达149家，实现产值35亿元，2021年，州直规模以上工业企业达到235家，年内小升规企业46家，创历史新高，规模以上工业实现增加值201.1亿元，同比增长19%，带动就业4.5万元。 保障部门单位人员发放工资福利支出及运转支出。                                                                                   </w:t>
      </w:r>
      <w:r>
        <w:rPr>
          <w:rFonts w:hint="eastAsia" w:ascii="仿宋_GB2312" w:hAnsi="宋体" w:eastAsia="仿宋_GB2312"/>
          <w:b/>
          <w:sz w:val="32"/>
          <w:szCs w:val="32"/>
        </w:rPr>
        <w:cr/>
      </w:r>
    </w:p>
    <w:p w14:paraId="30860638">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2.保障部门单位人员发放工资福利支出及运转支出。</w:t>
      </w:r>
      <w:r>
        <w:rPr>
          <w:rFonts w:hint="eastAsia" w:ascii="仿宋_GB2312" w:hAnsi="宋体" w:eastAsia="仿宋_GB2312"/>
          <w:b/>
          <w:sz w:val="32"/>
          <w:szCs w:val="32"/>
        </w:rPr>
        <w:cr/>
      </w:r>
    </w:p>
    <w:p w14:paraId="6FBF6662">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伊犁州工业和信息化局单位整体绩效目标共设置一级指标3个，二级指标7个，三级指标8个，详细说明如下</w:t>
      </w:r>
      <w:r>
        <w:rPr>
          <w:rFonts w:hint="eastAsia" w:ascii="仿宋_GB2312" w:hAnsi="宋体" w:eastAsia="仿宋_GB2312"/>
          <w:b/>
          <w:sz w:val="32"/>
          <w:szCs w:val="32"/>
        </w:rPr>
        <w:cr/>
      </w:r>
    </w:p>
    <w:p w14:paraId="3C5A0EFD">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1、数量指标：</w:t>
      </w:r>
      <w:r>
        <w:rPr>
          <w:rFonts w:hint="eastAsia" w:ascii="仿宋_GB2312" w:hAnsi="宋体" w:eastAsia="仿宋_GB2312"/>
          <w:b/>
          <w:sz w:val="32"/>
          <w:szCs w:val="32"/>
        </w:rPr>
        <w:cr/>
      </w:r>
    </w:p>
    <w:p w14:paraId="71A1D7F5">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指标1：</w:t>
      </w:r>
      <w:r>
        <w:rPr>
          <w:rFonts w:hint="eastAsia" w:ascii="仿宋_GB2312" w:hAnsi="宋体" w:eastAsia="仿宋_GB2312"/>
          <w:b/>
          <w:sz w:val="32"/>
          <w:szCs w:val="32"/>
        </w:rPr>
        <w:tab/>
      </w:r>
      <w:r>
        <w:rPr>
          <w:rFonts w:hint="eastAsia" w:ascii="仿宋_GB2312" w:hAnsi="宋体" w:eastAsia="仿宋_GB2312"/>
          <w:b/>
          <w:sz w:val="32"/>
          <w:szCs w:val="32"/>
        </w:rPr>
        <w:t>保障在职人数，指标值：&gt;=53人，实际完成值：53人 ，指标完成率100.00%；</w:t>
      </w:r>
      <w:r>
        <w:rPr>
          <w:rFonts w:hint="eastAsia" w:ascii="仿宋_GB2312" w:hAnsi="宋体" w:eastAsia="仿宋_GB2312"/>
          <w:b/>
          <w:sz w:val="32"/>
          <w:szCs w:val="32"/>
        </w:rPr>
        <w:cr/>
      </w:r>
    </w:p>
    <w:p w14:paraId="5B05A584">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2、质量指标：</w:t>
      </w:r>
      <w:r>
        <w:rPr>
          <w:rFonts w:hint="eastAsia" w:ascii="仿宋_GB2312" w:hAnsi="宋体" w:eastAsia="仿宋_GB2312"/>
          <w:b/>
          <w:sz w:val="32"/>
          <w:szCs w:val="32"/>
        </w:rPr>
        <w:cr/>
      </w:r>
    </w:p>
    <w:p w14:paraId="59981DFD">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指标1：</w:t>
      </w:r>
      <w:r>
        <w:rPr>
          <w:rFonts w:hint="eastAsia" w:ascii="仿宋_GB2312" w:hAnsi="宋体" w:eastAsia="仿宋_GB2312"/>
          <w:b/>
          <w:sz w:val="32"/>
          <w:szCs w:val="32"/>
        </w:rPr>
        <w:tab/>
      </w:r>
      <w:r>
        <w:rPr>
          <w:rFonts w:hint="eastAsia" w:ascii="仿宋_GB2312" w:hAnsi="宋体" w:eastAsia="仿宋_GB2312"/>
          <w:b/>
          <w:sz w:val="32"/>
          <w:szCs w:val="32"/>
        </w:rPr>
        <w:t>工资及公用经费保障率，指标值：=100%，实际完成值：100%，指标完成率100.00%；</w:t>
      </w:r>
      <w:r>
        <w:rPr>
          <w:rFonts w:hint="eastAsia" w:ascii="仿宋_GB2312" w:hAnsi="宋体" w:eastAsia="仿宋_GB2312"/>
          <w:b/>
          <w:sz w:val="32"/>
          <w:szCs w:val="32"/>
        </w:rPr>
        <w:cr/>
      </w:r>
    </w:p>
    <w:p w14:paraId="3C6DB535">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3、时效指标：</w:t>
      </w:r>
      <w:r>
        <w:rPr>
          <w:rFonts w:hint="eastAsia" w:ascii="仿宋_GB2312" w:hAnsi="宋体" w:eastAsia="仿宋_GB2312"/>
          <w:b/>
          <w:sz w:val="32"/>
          <w:szCs w:val="32"/>
        </w:rPr>
        <w:cr/>
      </w:r>
    </w:p>
    <w:p w14:paraId="0AEF5E4F">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指标1：资金发放及时性，指标值=100%，实际完成值：100%，指标完成率100.00%；</w:t>
      </w:r>
      <w:r>
        <w:rPr>
          <w:rFonts w:hint="eastAsia" w:ascii="仿宋_GB2312" w:hAnsi="宋体" w:eastAsia="仿宋_GB2312"/>
          <w:b/>
          <w:sz w:val="32"/>
          <w:szCs w:val="32"/>
        </w:rPr>
        <w:cr/>
      </w:r>
    </w:p>
    <w:p w14:paraId="46CF76C2">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4、成本指标：</w:t>
      </w:r>
      <w:r>
        <w:rPr>
          <w:rFonts w:hint="eastAsia" w:ascii="仿宋_GB2312" w:hAnsi="宋体" w:eastAsia="仿宋_GB2312"/>
          <w:b/>
          <w:sz w:val="32"/>
          <w:szCs w:val="32"/>
        </w:rPr>
        <w:cr/>
      </w:r>
    </w:p>
    <w:p w14:paraId="76C35EDF">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指标1：人均支出标准，指标值：&lt;=14.47万元，实际完成值：13.79万元，指标完成率95.30%；</w:t>
      </w:r>
      <w:r>
        <w:rPr>
          <w:rFonts w:hint="eastAsia" w:ascii="仿宋_GB2312" w:hAnsi="宋体" w:eastAsia="仿宋_GB2312"/>
          <w:b/>
          <w:sz w:val="32"/>
          <w:szCs w:val="32"/>
        </w:rPr>
        <w:cr/>
      </w:r>
    </w:p>
    <w:p w14:paraId="49517923">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指标2：人均运转经费数，指标值：&lt;=1.89万元，实际完成值：1.78万元，指标完成率94.18%；</w:t>
      </w:r>
      <w:r>
        <w:rPr>
          <w:rFonts w:hint="eastAsia" w:ascii="仿宋_GB2312" w:hAnsi="宋体" w:eastAsia="仿宋_GB2312"/>
          <w:b/>
          <w:sz w:val="32"/>
          <w:szCs w:val="32"/>
        </w:rPr>
        <w:cr/>
      </w:r>
    </w:p>
    <w:p w14:paraId="16CB2348">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5、社会效益指标：</w:t>
      </w:r>
      <w:r>
        <w:rPr>
          <w:rFonts w:hint="eastAsia" w:ascii="仿宋_GB2312" w:hAnsi="宋体" w:eastAsia="仿宋_GB2312"/>
          <w:b/>
          <w:sz w:val="32"/>
          <w:szCs w:val="32"/>
        </w:rPr>
        <w:cr/>
      </w:r>
    </w:p>
    <w:p w14:paraId="38623765">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指标1：增加就业人数，指标值：</w:t>
      </w:r>
      <w:r>
        <w:rPr>
          <w:rFonts w:hint="eastAsia" w:ascii="仿宋_GB2312" w:hAnsi="宋体" w:eastAsia="仿宋_GB2312"/>
          <w:b/>
          <w:sz w:val="32"/>
          <w:szCs w:val="32"/>
        </w:rPr>
        <w:tab/>
      </w:r>
      <w:r>
        <w:rPr>
          <w:rFonts w:hint="eastAsia" w:ascii="仿宋_GB2312" w:hAnsi="宋体" w:eastAsia="仿宋_GB2312"/>
          <w:b/>
          <w:sz w:val="32"/>
          <w:szCs w:val="32"/>
        </w:rPr>
        <w:t>&gt;=4.5万人，实际完成值：4.5万人，指标完成率100.00%；</w:t>
      </w:r>
      <w:r>
        <w:rPr>
          <w:rFonts w:hint="eastAsia" w:ascii="仿宋_GB2312" w:hAnsi="宋体" w:eastAsia="仿宋_GB2312"/>
          <w:b/>
          <w:sz w:val="32"/>
          <w:szCs w:val="32"/>
        </w:rPr>
        <w:cr/>
      </w:r>
    </w:p>
    <w:p w14:paraId="489DFC9D">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6、可持续影响指标：</w:t>
      </w:r>
      <w:r>
        <w:rPr>
          <w:rFonts w:hint="eastAsia" w:ascii="仿宋_GB2312" w:hAnsi="宋体" w:eastAsia="仿宋_GB2312"/>
          <w:b/>
          <w:sz w:val="32"/>
          <w:szCs w:val="32"/>
        </w:rPr>
        <w:cr/>
      </w:r>
    </w:p>
    <w:p w14:paraId="18FB02E7">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指标1：解决工业企业反映的困难诉求，指标值：持续解决，实际完成值：持续解决，指标完成率100.00%；；</w:t>
      </w:r>
      <w:r>
        <w:rPr>
          <w:rFonts w:hint="eastAsia" w:ascii="仿宋_GB2312" w:hAnsi="宋体" w:eastAsia="仿宋_GB2312"/>
          <w:b/>
          <w:sz w:val="32"/>
          <w:szCs w:val="32"/>
        </w:rPr>
        <w:cr/>
      </w:r>
    </w:p>
    <w:p w14:paraId="7CEE715C">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7、满意度指标：</w:t>
      </w:r>
      <w:r>
        <w:rPr>
          <w:rFonts w:hint="eastAsia" w:ascii="仿宋_GB2312" w:hAnsi="宋体" w:eastAsia="仿宋_GB2312"/>
          <w:b/>
          <w:sz w:val="32"/>
          <w:szCs w:val="32"/>
        </w:rPr>
        <w:cr/>
      </w:r>
    </w:p>
    <w:p w14:paraId="309071A2">
      <w:pPr>
        <w:spacing w:line="600" w:lineRule="exact"/>
        <w:ind w:firstLine="1124" w:firstLineChars="350"/>
        <w:jc w:val="left"/>
        <w:rPr>
          <w:rFonts w:ascii="仿宋_GB2312" w:hAnsi="宋体" w:eastAsia="仿宋_GB2312"/>
          <w:b/>
          <w:sz w:val="32"/>
          <w:szCs w:val="32"/>
        </w:rPr>
      </w:pPr>
      <w:r>
        <w:rPr>
          <w:rFonts w:hint="eastAsia" w:ascii="仿宋_GB2312" w:hAnsi="宋体" w:eastAsia="仿宋_GB2312"/>
          <w:b/>
          <w:sz w:val="32"/>
          <w:szCs w:val="32"/>
        </w:rPr>
        <w:t>指标1：职工满意度，指标值：&gt;=90%，实际完成值：100%，指标完成率111.11%；</w:t>
      </w:r>
    </w:p>
    <w:p w14:paraId="02D1EF56">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存在的主要问题</w:t>
      </w:r>
    </w:p>
    <w:p w14:paraId="413EBF34">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1.在编制绩效项目支出绩效工作过程中，预算编制工作有待细化，预算编制不够明确和细化，整体绩效预算编制的合理性需要提高，预算执行力度还要进一步加强。</w:t>
      </w:r>
    </w:p>
    <w:p w14:paraId="001EEF6D">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2.相关工作人员经验不足，绩效管理意识不高，对于指标的编制还不够完善。缺乏科学、统一、完整的财政绩效评价指标体系，并且绩效管理缺乏约束和制度保障。</w:t>
      </w:r>
    </w:p>
    <w:p w14:paraId="47EECC8B">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原因分析：</w:t>
      </w:r>
    </w:p>
    <w:p w14:paraId="2AF3A082">
      <w:pPr>
        <w:spacing w:line="600" w:lineRule="exact"/>
        <w:ind w:left="648" w:firstLine="643" w:firstLineChars="200"/>
        <w:jc w:val="left"/>
        <w:rPr>
          <w:rFonts w:ascii="仿宋_GB2312" w:hAnsi="宋体" w:eastAsia="仿宋_GB2312"/>
          <w:b/>
          <w:sz w:val="32"/>
          <w:szCs w:val="32"/>
        </w:rPr>
      </w:pPr>
      <w:r>
        <w:rPr>
          <w:rFonts w:hint="eastAsia" w:ascii="仿宋_GB2312" w:hAnsi="宋体" w:eastAsia="仿宋_GB2312"/>
          <w:b/>
          <w:sz w:val="32"/>
          <w:szCs w:val="32"/>
        </w:rPr>
        <w:t>对预算绩效管理、绩效理念尚未真正贯穿于实践工作，对于指标的编制还不够完善。</w:t>
      </w:r>
    </w:p>
    <w:p w14:paraId="26BBFE39">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改进措施和建议</w:t>
      </w:r>
    </w:p>
    <w:p w14:paraId="46BCC99F">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加强财务管理，严格财务审核。加强单位财务管理，健全单位财务管理制度体系，规范单位财务行为。在费用报账支付时，按照预算规定的费用项目和用途进行资金使用审核、支付、财务核算，杜绝超支现象的发生。</w:t>
      </w:r>
    </w:p>
    <w:p w14:paraId="381CD050">
      <w:pPr>
        <w:spacing w:line="600" w:lineRule="exact"/>
        <w:ind w:left="648" w:firstLine="643" w:firstLineChars="200"/>
        <w:jc w:val="left"/>
        <w:rPr>
          <w:rFonts w:hint="eastAsia" w:ascii="仿宋_GB2312" w:hAnsi="宋体" w:eastAsia="仿宋_GB2312"/>
          <w:b/>
          <w:sz w:val="32"/>
          <w:szCs w:val="32"/>
          <w:lang w:eastAsia="zh-CN"/>
        </w:rPr>
      </w:pPr>
    </w:p>
    <w:p w14:paraId="1D89E582">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（一）改进措施</w:t>
      </w:r>
    </w:p>
    <w:p w14:paraId="0B3E5CF2">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我委将继续加强对项目绩效目标与监控工作的力度，加强对业务处室项目经办人员的项目绩效目标与监控工作的培训，认识并重视此项工作的重要性，改进本单位绩效监控组织、管理、实施方式。</w:t>
      </w:r>
    </w:p>
    <w:p w14:paraId="06D92612">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（二）建议</w:t>
      </w:r>
    </w:p>
    <w:p w14:paraId="05613999">
      <w:pPr>
        <w:spacing w:line="600" w:lineRule="exact"/>
        <w:ind w:left="648" w:firstLine="643" w:firstLineChars="200"/>
        <w:jc w:val="left"/>
        <w:rPr>
          <w:rFonts w:ascii="仿宋_GB2312" w:hAnsi="宋体" w:eastAsia="仿宋_GB2312"/>
          <w:b/>
          <w:sz w:val="32"/>
          <w:szCs w:val="32"/>
        </w:rPr>
      </w:pPr>
      <w:r>
        <w:rPr>
          <w:rFonts w:hint="eastAsia" w:ascii="仿宋_GB2312" w:hAnsi="宋体" w:eastAsia="仿宋_GB2312"/>
          <w:b/>
          <w:sz w:val="32"/>
          <w:szCs w:val="32"/>
        </w:rPr>
        <w:t>项目资金由于项目资金到位情况，完成进度、合同付款时间等原因，项目资金没有及时付款，今后对资金支付情况要按项目进展情况及时足额支付，以保证项目顺利进行。</w:t>
      </w:r>
    </w:p>
    <w:p w14:paraId="459C7E4B">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附表：《部门整体支出绩效目标自评表》</w:t>
      </w:r>
    </w:p>
    <w:p w14:paraId="77318B11"/>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panose1 w:val="03000509000000000000"/>
    <w:charset w:val="86"/>
    <w:family w:val="script"/>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9703BB8"/>
    <w:multiLevelType w:val="multilevel"/>
    <w:tmpl w:val="69703BB8"/>
    <w:lvl w:ilvl="0" w:tentative="0">
      <w:start w:val="1"/>
      <w:numFmt w:val="japaneseCounting"/>
      <w:lvlText w:val="%1、"/>
      <w:lvlJc w:val="left"/>
      <w:pPr>
        <w:ind w:left="1368" w:hanging="720"/>
      </w:pPr>
      <w:rPr>
        <w:rFonts w:hint="default"/>
      </w:rPr>
    </w:lvl>
    <w:lvl w:ilvl="1" w:tentative="0">
      <w:start w:val="1"/>
      <w:numFmt w:val="lowerLetter"/>
      <w:lvlText w:val="%2)"/>
      <w:lvlJc w:val="left"/>
      <w:pPr>
        <w:ind w:left="1488" w:hanging="420"/>
      </w:pPr>
    </w:lvl>
    <w:lvl w:ilvl="2" w:tentative="0">
      <w:start w:val="1"/>
      <w:numFmt w:val="lowerRoman"/>
      <w:lvlText w:val="%3."/>
      <w:lvlJc w:val="right"/>
      <w:pPr>
        <w:ind w:left="1908" w:hanging="420"/>
      </w:pPr>
    </w:lvl>
    <w:lvl w:ilvl="3" w:tentative="0">
      <w:start w:val="1"/>
      <w:numFmt w:val="decimal"/>
      <w:lvlText w:val="%4."/>
      <w:lvlJc w:val="left"/>
      <w:pPr>
        <w:ind w:left="2328" w:hanging="420"/>
      </w:pPr>
    </w:lvl>
    <w:lvl w:ilvl="4" w:tentative="0">
      <w:start w:val="1"/>
      <w:numFmt w:val="lowerLetter"/>
      <w:lvlText w:val="%5)"/>
      <w:lvlJc w:val="left"/>
      <w:pPr>
        <w:ind w:left="2748" w:hanging="420"/>
      </w:pPr>
    </w:lvl>
    <w:lvl w:ilvl="5" w:tentative="0">
      <w:start w:val="1"/>
      <w:numFmt w:val="lowerRoman"/>
      <w:lvlText w:val="%6."/>
      <w:lvlJc w:val="right"/>
      <w:pPr>
        <w:ind w:left="3168" w:hanging="420"/>
      </w:pPr>
    </w:lvl>
    <w:lvl w:ilvl="6" w:tentative="0">
      <w:start w:val="1"/>
      <w:numFmt w:val="decimal"/>
      <w:lvlText w:val="%7."/>
      <w:lvlJc w:val="left"/>
      <w:pPr>
        <w:ind w:left="3588" w:hanging="420"/>
      </w:pPr>
    </w:lvl>
    <w:lvl w:ilvl="7" w:tentative="0">
      <w:start w:val="1"/>
      <w:numFmt w:val="lowerLetter"/>
      <w:lvlText w:val="%8)"/>
      <w:lvlJc w:val="left"/>
      <w:pPr>
        <w:ind w:left="4008" w:hanging="420"/>
      </w:pPr>
    </w:lvl>
    <w:lvl w:ilvl="8" w:tentative="0">
      <w:start w:val="1"/>
      <w:numFmt w:val="lowerRoman"/>
      <w:lvlText w:val="%9."/>
      <w:lvlJc w:val="right"/>
      <w:pPr>
        <w:ind w:left="442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mVhYzkyZjVjM2Y1MzRlOGQyN2UyMTAzMTUzMDFmMjcifQ=="/>
  </w:docVars>
  <w:rsids>
    <w:rsidRoot w:val="00EB3604"/>
    <w:rsid w:val="001C7F2C"/>
    <w:rsid w:val="00340E58"/>
    <w:rsid w:val="003E45AA"/>
    <w:rsid w:val="00584481"/>
    <w:rsid w:val="00653C1A"/>
    <w:rsid w:val="007B51CE"/>
    <w:rsid w:val="007E47F4"/>
    <w:rsid w:val="008F0DCE"/>
    <w:rsid w:val="00916058"/>
    <w:rsid w:val="00AB72C1"/>
    <w:rsid w:val="00C10BB4"/>
    <w:rsid w:val="00CE0C6C"/>
    <w:rsid w:val="00DB647F"/>
    <w:rsid w:val="00DC7E33"/>
    <w:rsid w:val="00E8616A"/>
    <w:rsid w:val="00EB3604"/>
    <w:rsid w:val="27D87B6B"/>
    <w:rsid w:val="6FC75E3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7"/>
    <w:unhideWhenUsed/>
    <w:uiPriority w:val="99"/>
    <w:pPr>
      <w:tabs>
        <w:tab w:val="center" w:pos="4153"/>
        <w:tab w:val="right" w:pos="8306"/>
      </w:tabs>
      <w:snapToGrid w:val="0"/>
      <w:jc w:val="left"/>
    </w:pPr>
    <w:rPr>
      <w:sz w:val="18"/>
      <w:szCs w:val="18"/>
    </w:rPr>
  </w:style>
  <w:style w:type="paragraph" w:styleId="3">
    <w:name w:val="header"/>
    <w:basedOn w:val="1"/>
    <w:link w:val="6"/>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5"/>
    <w:link w:val="3"/>
    <w:uiPriority w:val="99"/>
    <w:rPr>
      <w:sz w:val="18"/>
      <w:szCs w:val="18"/>
    </w:rPr>
  </w:style>
  <w:style w:type="character" w:customStyle="1" w:styleId="7">
    <w:name w:val="页脚 字符"/>
    <w:basedOn w:val="5"/>
    <w:link w:val="2"/>
    <w:uiPriority w:val="99"/>
    <w:rPr>
      <w:sz w:val="18"/>
      <w:szCs w:val="18"/>
    </w:rPr>
  </w:style>
  <w:style w:type="paragraph" w:styleId="8">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34</Pages>
  <Words>12097</Words>
  <Characters>13025</Characters>
  <Lines>2</Lines>
  <Paragraphs>1</Paragraphs>
  <TotalTime>12</TotalTime>
  <ScaleCrop>false</ScaleCrop>
  <LinksUpToDate>false</LinksUpToDate>
  <CharactersWithSpaces>13307</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2020-06-04T05:22:00Z</dcterms:created>
  <dc:creator>hongbing liu</dc:creator>
  <cp:lastModifiedBy>张涛</cp:lastModifiedBy>
  <dcterms:modified xsi:type="dcterms:W3CDTF">2025-05-20T03:30:11Z</dcterms:modified>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ICV">
    <vt:lpwstr>1F611F2770B54316830357288E40528D_12</vt:lpwstr>
  </property>
  <property fmtid="{D5CDD505-2E9C-101B-9397-08002B2CF9AE}" pid="4" name="KSOTemplateDocerSaveRecord">
    <vt:lpwstr>eyJoZGlkIjoiZTJlNDBmZDg4NzQzM2UxZWE4MWMzYTNmYjU4NjJhMzkiLCJ1c2VySWQiOiIzODc1NDM2MTYifQ==</vt:lpwstr>
  </property>
</Properties>
</file>