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B3F9">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2B863724">
      <w:pPr>
        <w:spacing w:line="540" w:lineRule="exact"/>
        <w:jc w:val="center"/>
        <w:rPr>
          <w:rFonts w:ascii="方正小标宋_GBK" w:hAnsi="华文中宋" w:eastAsia="方正小标宋_GBK" w:cs="宋体"/>
          <w:b/>
          <w:kern w:val="0"/>
          <w:sz w:val="48"/>
          <w:szCs w:val="48"/>
        </w:rPr>
      </w:pPr>
    </w:p>
    <w:p w14:paraId="56FE3831">
      <w:pPr>
        <w:spacing w:line="540" w:lineRule="exact"/>
        <w:jc w:val="center"/>
        <w:rPr>
          <w:rFonts w:ascii="方正小标宋_GBK" w:hAnsi="华文中宋" w:eastAsia="方正小标宋_GBK" w:cs="宋体"/>
          <w:b/>
          <w:kern w:val="0"/>
          <w:sz w:val="48"/>
          <w:szCs w:val="48"/>
        </w:rPr>
      </w:pPr>
    </w:p>
    <w:p w14:paraId="71BEA104">
      <w:pPr>
        <w:spacing w:line="540" w:lineRule="exact"/>
        <w:jc w:val="center"/>
        <w:rPr>
          <w:rFonts w:ascii="方正小标宋_GBK" w:hAnsi="华文中宋" w:eastAsia="方正小标宋_GBK" w:cs="宋体"/>
          <w:b/>
          <w:kern w:val="0"/>
          <w:sz w:val="48"/>
          <w:szCs w:val="48"/>
        </w:rPr>
      </w:pPr>
    </w:p>
    <w:p w14:paraId="393401E7">
      <w:pPr>
        <w:spacing w:line="540" w:lineRule="exact"/>
        <w:jc w:val="center"/>
        <w:rPr>
          <w:rFonts w:ascii="方正小标宋_GBK" w:hAnsi="华文中宋" w:eastAsia="方正小标宋_GBK" w:cs="宋体"/>
          <w:b/>
          <w:kern w:val="0"/>
          <w:sz w:val="48"/>
          <w:szCs w:val="48"/>
        </w:rPr>
      </w:pPr>
    </w:p>
    <w:p w14:paraId="1B39C0AE">
      <w:pPr>
        <w:spacing w:line="540" w:lineRule="exact"/>
        <w:jc w:val="center"/>
        <w:rPr>
          <w:rFonts w:ascii="方正小标宋_GBK" w:hAnsi="华文中宋" w:eastAsia="方正小标宋_GBK" w:cs="宋体"/>
          <w:b/>
          <w:kern w:val="0"/>
          <w:sz w:val="48"/>
          <w:szCs w:val="48"/>
        </w:rPr>
      </w:pPr>
    </w:p>
    <w:p w14:paraId="11A18AD0">
      <w:pPr>
        <w:spacing w:line="540" w:lineRule="exact"/>
        <w:jc w:val="center"/>
        <w:rPr>
          <w:rFonts w:ascii="方正小标宋_GBK" w:hAnsi="华文中宋" w:eastAsia="方正小标宋_GBK" w:cs="宋体"/>
          <w:b/>
          <w:kern w:val="0"/>
          <w:sz w:val="48"/>
          <w:szCs w:val="48"/>
        </w:rPr>
      </w:pPr>
    </w:p>
    <w:p w14:paraId="7D56F87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0C87FD0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8039830">
      <w:pPr>
        <w:spacing w:line="540" w:lineRule="exact"/>
        <w:jc w:val="center"/>
        <w:rPr>
          <w:rFonts w:ascii="华文中宋" w:hAnsi="华文中宋" w:eastAsia="华文中宋" w:cs="宋体"/>
          <w:b/>
          <w:kern w:val="0"/>
          <w:sz w:val="52"/>
          <w:szCs w:val="52"/>
        </w:rPr>
      </w:pPr>
    </w:p>
    <w:p w14:paraId="1CF259A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86745CD">
      <w:pPr>
        <w:spacing w:line="540" w:lineRule="exact"/>
        <w:jc w:val="center"/>
        <w:rPr>
          <w:rFonts w:hAnsi="宋体" w:eastAsia="仿宋_GB2312" w:cs="宋体"/>
          <w:kern w:val="0"/>
          <w:sz w:val="30"/>
          <w:szCs w:val="30"/>
        </w:rPr>
      </w:pPr>
    </w:p>
    <w:p w14:paraId="4CED77EE">
      <w:pPr>
        <w:spacing w:line="540" w:lineRule="exact"/>
        <w:jc w:val="center"/>
        <w:rPr>
          <w:rFonts w:hAnsi="宋体" w:eastAsia="仿宋_GB2312" w:cs="宋体"/>
          <w:kern w:val="0"/>
          <w:sz w:val="30"/>
          <w:szCs w:val="30"/>
        </w:rPr>
      </w:pPr>
    </w:p>
    <w:p w14:paraId="4D1EB09D">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2D6A57FE">
      <w:pPr>
        <w:spacing w:line="540" w:lineRule="exact"/>
        <w:jc w:val="center"/>
        <w:rPr>
          <w:rFonts w:hAnsi="宋体" w:eastAsia="仿宋_GB2312" w:cs="宋体"/>
          <w:kern w:val="0"/>
          <w:sz w:val="30"/>
          <w:szCs w:val="30"/>
        </w:rPr>
      </w:pPr>
    </w:p>
    <w:p w14:paraId="63BE86C2">
      <w:pPr>
        <w:spacing w:line="540" w:lineRule="exact"/>
        <w:jc w:val="center"/>
        <w:rPr>
          <w:rFonts w:hAnsi="宋体" w:eastAsia="仿宋_GB2312" w:cs="宋体"/>
          <w:kern w:val="0"/>
          <w:sz w:val="30"/>
          <w:szCs w:val="30"/>
        </w:rPr>
      </w:pPr>
    </w:p>
    <w:p w14:paraId="1F44B85D">
      <w:pPr>
        <w:spacing w:line="540" w:lineRule="exact"/>
        <w:jc w:val="center"/>
        <w:rPr>
          <w:rFonts w:hAnsi="宋体" w:eastAsia="仿宋_GB2312" w:cs="宋体"/>
          <w:kern w:val="0"/>
          <w:sz w:val="30"/>
          <w:szCs w:val="30"/>
        </w:rPr>
      </w:pPr>
    </w:p>
    <w:p w14:paraId="2A61933D">
      <w:pPr>
        <w:spacing w:line="540" w:lineRule="exact"/>
        <w:rPr>
          <w:rFonts w:hAnsi="宋体" w:eastAsia="仿宋_GB2312" w:cs="宋体"/>
          <w:kern w:val="0"/>
          <w:sz w:val="30"/>
          <w:szCs w:val="30"/>
        </w:rPr>
      </w:pPr>
    </w:p>
    <w:p w14:paraId="7C5A61A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60287E">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DFE3CD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0D71FB5A">
      <w:pPr>
        <w:spacing w:line="700" w:lineRule="exact"/>
        <w:jc w:val="left"/>
        <w:rPr>
          <w:rFonts w:hAnsi="宋体" w:eastAsia="仿宋_GB2312" w:cs="宋体"/>
          <w:kern w:val="0"/>
          <w:sz w:val="36"/>
          <w:szCs w:val="36"/>
        </w:rPr>
      </w:pPr>
    </w:p>
    <w:p w14:paraId="6E61B129">
      <w:pPr>
        <w:spacing w:line="700" w:lineRule="exact"/>
        <w:jc w:val="left"/>
        <w:rPr>
          <w:rFonts w:hAnsi="宋体" w:eastAsia="仿宋_GB2312" w:cs="宋体"/>
          <w:kern w:val="0"/>
          <w:sz w:val="36"/>
          <w:szCs w:val="36"/>
        </w:rPr>
      </w:pPr>
    </w:p>
    <w:p w14:paraId="20CD2773">
      <w:pPr>
        <w:spacing w:line="700" w:lineRule="exact"/>
        <w:jc w:val="left"/>
        <w:rPr>
          <w:rFonts w:hAnsi="宋体" w:eastAsia="仿宋_GB2312" w:cs="宋体"/>
          <w:kern w:val="0"/>
          <w:sz w:val="36"/>
          <w:szCs w:val="36"/>
        </w:rPr>
      </w:pPr>
    </w:p>
    <w:p w14:paraId="68C451F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40265AFE">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1.组织指导城乡综合性消防救援工作，负责指挥调度相关灾害事故救援行动；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2.重要会议、大型活动消防安全保卫工作；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3.负责消防救援队伍综合性救援预案编制、战术研究，组织指导执勤备战、训练演练等工作；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4.负责火灾预防、消防监督执法以及火灾事故调查处理相关工作；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5.依法行使消防安全综合监管职能，推动落实消防安全责任制；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6.负责消防安全宣传教育，组织指导社会消防力量建设等工作。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消防救援支队无下属预算单位，下设12个处室，分别是：办公室、指挥中心、作战训练处、信息通信处、组织干部处、队务督查处、防火监督处、法制与社会消防工作处、新闻宣传处、后勤装备处、财务处、战勤保障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（2）2021年伊犁州消防救援支队实有在职人员为111人，其中：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行政在职102人（上年125人），同比上年减少23人；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事业在职9人（上年5人），同比上年增加4人；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实有离休人员0人（上年0人）, 同比上年与上年一致。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实有退休人员0人（上年0人）, 同比上年与上年一致。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（1）人员保障工作，计划投入46.55万元，要完成保障部门单位人员工资福利支出及对个人和家庭的补助发放到位的目标。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（2）运转保障工作，计划投入4.53万元，要完成保障日常办公费、取暖费、工会经费、福利福及其他商品服务支出的目标。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（3）消防保障费及高危行业补助、伙食补助工作，计划投入     516.68万元，要实现提升消防监督执法效能，深化消防宣传工作，完善执勤备战机制，强化专业救援力量的目标。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（4）关于下达2021年第一批新疆、西藏、四省涉藏州县建设专项中央建设投资预算的通知计划投入1128万元，完成伊宁市解放南路二级消防站及附属设施和察布查尔锡伯自治县工业园区二级消防站建设的目标。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2021年批复我部门（单位）全年预算数数为1743.15万元，其中：年初批复的财政拨款为568.15万元，年中追加1175万元，调整率206.81%。对比上年3314.34万元减少1571.19万元，下降47.41%。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2021年实际决算支出1245.71万元，执行率71.46%，其中：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1）基本支出81.23万元，占总支出的6.52％，主要用于本单位机构正常运转、完成日常工作任务而发生的各项支出。其中：工资福利支出76.69万元，主要用于在职人员基本工资、津贴补贴等人员经费。商品和服务支出4.53万元，主要用于办公费、水电费、邮电费、差旅费等。对个人和家庭的补助0.01万元，主要用于1名双职工家庭的独生子女奖励金。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1164.47万元，占总支出的93.48％。其中：伊犁州消防救援支队保障费及高危行业补助、伙食补助项目安排516.67万元，主要用于完成以防火、灭火和抢险救援为中心的各项工作，保障伊犁州直社会面火灾形势平稳，伊犁消防救援队伍安全稳定，队员身心健康；关于下达2021年第一批新疆、西藏、四省涉藏州县建设专项中央建设投资预算的通知安排647.80万元，主要用于完成伊宁市解放南路二级消防站及附属设施建设项目原有房屋拆除，主体钢筋进场和察布查尔锡伯自治县工业园区二级消防站二层建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本年度重点项目支出1164.47万元，重点支出保障率100.00%。其中重点保障项目是伊犁州消防救援支队保障费及高危行业补助、伙食补助项目和2021年第一批新疆、西藏、四省涉藏州县建设专项中央建设投资预算的通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（4）本年度我单位全年政府采购预算0.16万元，实际用于政府采购金额0.16万元，采购执行率100.00%。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本次部门（单位）整体支出绩效自评采用成本效益分析方法，原因是：通过成本效益分析的提炼，对绩效目标设立的科学性和严谨性，资金分配的合理性和规范性，政策和项目实施的有效性等进行充分剖析。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涉及对象：本次评价对象是伊犁州消防救援支队所有财政资金支出活动。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①基本支出98.47万元，其中：工资福利支出93.93万元、商品和服务支出4.53万元、对个人和家庭的补助支出0.01万元。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②项目支出1644.68万元：2021年伊犁州消防救援支队保障费及高危行业补助、伙食补助项目；关于下达2021年第一批新疆、西藏、四省涉藏州县建设专项中央建设投资预算的通知。</w:t>
      </w:r>
      <w:bookmarkStart w:id="0" w:name="_Hlk43849111"/>
      <w:bookmarkEnd w:id="0"/>
    </w:p>
    <w:p w14:paraId="1FB1F5A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0E9CCC6D">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关于做好2021年度州直预算公开工作的通知》（伊州财预〔2021〕5号）文件要求，部门预算及绩效目标在伊犁州政府门户网站专栏集中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消防救援支队《消防救援队伍基层单位财务管理规定（试行）》相关规定和伊犁州消防救援支队《新疆消防救援队伍经费资产审批管理规定》规定流程，资金支出按照我内控体系中设定的流程申报审批进行；项目支出属于政府采购的，按照伊犁州消防救援支队《政府采购管理暂行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98.47万元，实际到位98.47万元，实际支出81.23万元，占总支出的6.52％，其中：工资福利支出76.69万元、商品和服务支出4.53万元、对个人和家庭的补助0.01万元、主要用于在职人员基本工资、津贴补贴、办公费、印刷费、水电费、1名双职工家庭的独生子女费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2021年基本支出比上年49.25万元，增加31.98万元，上升64.93%，支出上升的主要原因是：本年年内新增5名事业编制考录人员，追加其工资福利支出。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2021年一般公共预算“三公”经费数为0万元，其中：因公出国（境）费0万元，公务用车购置0万元，公务用车运行费0万元，公务接待费0万元。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增加0万元，其中：因公出国（境）费增加0万元，主要原因是我单位本年度与上年度均未安排此项支出；公务用车购置费为0万元，主要原因是我单位本年度与上年度均未安排此项支出；公务用车运行费增加0万元，主要原因是我单位本年度与上年度均未安排此项支出；公务接待费增加0万元，主要原因是我单位本年度与上年度均未安排此项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2021年预算安排专项资金1644.68万元，实际到位1644.68万元，到位率100.00％，其中：中央转移支付项目资金1128万元，自治区资金0万元，本级安排516.68万元。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1164.47万元，占总支出的93.48%，其中2021年专项项目支出比上年2340.94万元减少1176.47万元，下降50.26%。支出减少的主要原因是中央转移支付资金建设工程项目体量不同。其中：伊犁州消防救援支队保障费及高危行业补助、伙食补助项目安排516.67万元，主要用于完成以防火、灭火和抢险救援为中心的各项工作，保障伊犁州直社会面火灾形势平稳，伊犁消防救援队伍安全稳定，队员身心健康；关于下达2021年第一批新疆、西藏、四省涉藏州县建设专项中央建设投资预算的通知安排647.80万元主要用于完成伊宁市解放南路二级消防站及附属设施建设项目原有房屋拆除，主体钢筋进场和察布查尔锡伯自治县工业园区二级消防站项目二层建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新疆消防救援队伍经费资产审批管理规定》专项资金管理办法，各项资金使用审批流程均按规定办理。涉及“三重一大”内容，严格按照规定提请支队党委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（2）建立伊犁州消防救援支队保障费及高危行业补助、伙食补助专项资金专帐，做到有据可依，有据可查。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（3）制订了关于下达2021年第一批新疆、西藏、四省涉藏州县建设专项中央建设投资预算的通知项目方案，确保项目目标任务明确。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（4）认真组织基建项目验收，确保项目符合城市消防站建设标准。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专项资金涉及政府采购项目的，按照新疆消防总队《政府采购管理暂行办法》组织人员制定采购计划，按照财政局采购部门批复，进行公开招标、邀请招标等方式进行。</w:t>
      </w:r>
    </w:p>
    <w:p w14:paraId="37DCA4A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745ED414">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伊犁州消防救援支队保障费及高危行业补助、伙食补助项目专项工作计划，关于下达2021年第一批新疆、西藏、四省涉藏州县建设专项中央建设投资预算的通知项目方案，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31日，伊犁州消防救援支队保障费及高危行业补助、伙食补助项目按照时间计划保质、保量完成。关于下达2021年第一批新疆、西藏、四省涉藏州县建设专项中央建设投资预算的通知项目完成了伊宁市解放南路二级消防站及附属设施建设项目原有房屋拆除，主体钢筋进场，察布查尔锡伯自治县工业园区二级消防站二层建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专项资金1644.68万元，实际到位1644.68万元，资金到位率100.00%。截止到2021年12月31日执行1164.47万元，执行率70.80%。其中：2021年结转专项资金0万元，实际执行0万元，执行率为0.00%；2021年新增专项资金1128万元，实际执行647.80万元，执行率为57.43%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执行新财行〔2012〕518号《新疆维吾尔自治区武警消防业务经费管理办法》、新财行〔2014〕96号关于《新疆维吾尔自治区武警消防部队业务经费管理办法》的补充通知、新政发〔1997〕78号《关于积极支持武警部队建设的通知》、伊州发改投资〔2020〕74号《关于对伊犁州察布查尔县工业园区二级消防站可行性研究报告代建项目建议书的批复》、伊州发改投资〔2020〕215号《关于对伊宁市解放南路二级消防站及附属设施建设项目可行性研究报告》（代项目建议书）的批复等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消防救援支队根据2021年2个项目的绩效目标及工作内容，将其细化分工至本单位12个处（室），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伊犁州消防救援支队实施的2个项目，由相关业务处室指派专人进行全过程跟踪管理，处室负责人统筹推进项目实施，单位领导不定期对项目进度进行调度，并对项目质量进行控制。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后勤装备处从项目实施方案、项目预算、项目建设进度、项目成本、项目验收等环节，全过程对项目进行监管，并向本单位主要领导报告，以推进项目建设和提高项目质量，以发挥资金使用效益。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消防救援支队所涉及专项项目均已于专项资金下达后按照资金文件及绩效管理要求设置《项目绩效目标表》。2个专项项目预算总额为1644.68万元，在项目实施过程中，业务人员加强项目管理，合理控制项目成本，截止项目结束，2个项目总成本为1164.47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伊犁州消防救援支队所涉及专项项目使用资金比专项项目总预算减少0万元，项目节约率为0.00%。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2021年伊犁州消防救援支队共涉及专项项目2个，截止到2021年底，通过专项项目实施过程中的有效监督，我单位已完成专项项目数量1个，未完成专项项目数量1个，项目总体完成率为70.80%。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2个专项项目完成质量情况如下：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①伊犁州消防救援支队保障费及高危行业补助、伙食补助项目完成2021年全州防火、灭火和城乡综合性消防救援工作，紧扣 </w:t>
      </w:r>
      <w:r>
        <w:rPr>
          <w:rFonts w:hint="eastAsia" w:ascii="仿宋_GB2312" w:hAnsi="宋体" w:eastAsia="仿宋_GB2312"/>
          <w:b/>
          <w:sz w:val="32"/>
          <w:szCs w:val="32"/>
          <w:lang w:eastAsia="zh-CN"/>
        </w:rPr>
        <w:t>全国两会</w:t>
      </w:r>
      <w:r>
        <w:rPr>
          <w:rFonts w:hint="eastAsia" w:ascii="仿宋_GB2312" w:hAnsi="宋体" w:eastAsia="仿宋_GB2312"/>
          <w:b/>
          <w:sz w:val="32"/>
          <w:szCs w:val="32"/>
        </w:rPr>
        <w:t>、“防灾减灾周”、“大风天”、安全生产月、“119”消防宣传月等重要节点，通过“线上+线下”方式广泛开展消防宣传教育活动276次；全州消防宣传服务队共出动400余人次，培训人员近20万人；指导重点单位和辖区常住人口注册学习“新疆消防重点单位知识培训系统”“全民消防安全学习云平台”累计32.4万人次；采取“一主题一直播”形式，围绕防火主责主业定制主题，全年在各个平台开展10余场直播，累计观看量百万人次；利用“全国消防体验场馆预约平台”开放消防应急科普教育基地（消防站）506次；斥资50余万元邀请受应急管理部认可的灭火救援专业资质培训机构承训，培训山岳绳索救援技术团体（高级）资质6人、山岳绳索救援技术中级资质19人、充气式动力救援艇技师资质7人、激流洪水救生员资质12人、潜水员资质7人、搜救犬训导员资质4人，无人机飞手13人、接警调度员12人、档案管理员2人，实现了“骨干有资质、站站有专家、队伍全覆盖”的培训目标；按时拨付高危行业补贴和伙食补贴，保障了队员身心健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关于下达2021年第一批新疆、西藏、四省涉藏州县建设专项中央建设投资预算的通知完成伊宁市解放南路二级消防站及附属设施建设项目原有房屋拆除，主体钢筋进场，察布查尔锡伯自治县工业园区二级消防站二层建设封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2个专项项目预期目标完成程度、实施对经济和社会的影响如下：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1、伊犁州消防救援支队保障费及高危行业补助、伙食补助项目目标全部完成，确保了全州火灾形势平稳和社会面形势安全稳定，不断提升了行业系统消防安全监管能力及消防工作社会化水平。</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关于下达2021年第一批新疆、西藏、四省涉藏州县建设专项中央建设投资预算的通知项目完成伊宁市解放南路二级消防站及附属设施和察布查尔锡伯自治县工业园区二级消防站部分建设任务，该项目建设是一项维护社会稳定，务实惠民的重要举措，能够完善消防基础设施，能够实现消防安全网格化管理。通过技能培训，不断提高消防队伍技能和防范化解风险能力，协调作战能力，增强人民群众的获得感、幸福感和安全感。</w:t>
      </w:r>
    </w:p>
    <w:p w14:paraId="12A3AD8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0A4F0C2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资产总额14637.47万元，其中流动资产8524.52万元（其中货币资金8524.52万元），固定资产净值5812.95万元（其中：土地、房屋及构筑物5007.31万元，占固定资产净值的86.14%；通用设备483.69万元，占固定资产净值的8.32%；专用设备66.68万元，占固定资产净值的1.15%；其他255.27万元）。</w:t>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本年度流动资产8524.52万元，比上年减少2839.77万元，原因是：全国消防队伍转制改隶，补发消防救援人员2019年至2020年工资及补缴住房公积金。</w:t>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本年度固定资产7811.11万元，比上年增加2879.98万元，原因是：训练基地建设项目在建工程转固定资产。</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实际在用固定资产7811.11万元，固定资产利用率100.00%。</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r>
        <w:rPr>
          <w:rFonts w:hint="eastAsia" w:ascii="仿宋_GB2312" w:hAnsi="宋体" w:eastAsia="仿宋_GB2312"/>
          <w:b/>
          <w:sz w:val="32"/>
          <w:szCs w:val="32"/>
        </w:rPr>
        <w:br w:type="textWrapping"/>
      </w: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346EF8A1">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2021年度我单位年初预算安排568.15万元，年中调整1175万元，截止12月底支出1245.71万元，执行率71.46%。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州党委政府的大力支持和支队党委的正确领导下，我单位迎难而上、务实重干，积极推动防火、灭火，应急救援工作取得了新的进展，为促进经济持续健康发展与社会和谐稳定提供了有力的安全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1、圆满完成建党百年消防安保工作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内对高风险单位和不放心场所实施“盯、巡、守、查”严管严控措施，持续对598家设有自动消防系统的单位开展建筑消防设施“三化”建设，建筑消防设施完好率达到98%，圆满完成建党百年消防安保工作，确保了州直社会面火灾形势持续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2、提升综合应急救援能力水平任务提前完成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对标“主力军”、“国家队”职能定位，牢固树立“重训、研训、抓训”鲜明导向，在扎实推进传统训练科目普训的基础上，重点开展桌面推演22次、指挥员能力考评58人，完善基础训练评判标准，稳固灭火救援基础。投入50余万元培训山岳绳索救援技术团体（高级）资质6人、山岳绳索救援技术中级资质19人、充气式动力救援艇技师资质7人、激流洪水救生员资质12人、潜水员资质7人、搜救犬训导员资质4人，无人机飞手13人、接警调度员12人、档案管理员2人，实现了“骨干有资质、队站有专家、队伍全覆盖”的培训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3、消防宣传教育成效显著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全州消防宣传队伍创新思路，点面结合，多层次、全方位、立体式开展了内容丰富、针对性强的系列宣传活动，大力宣传消防法律法规知识，普及防火灭火常识，不断拓宽群众学习掌握消防安全知识技能渠道，通过“线上+线下”方式广泛开展消防宣传教育活动276次；全州消防宣传服务队共出动400余人次，培训人员近20万人；切实增强了人民群众消防安全意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4、行业消防安全标准化管理全面达标，群众满意度高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严格落实消防工作联席会议及消防安全委员会工作制度，按照一行业一分析、一部门一对策的要求，进一步厘清行业部门职责清单，结合各类专项整治要求，持续向行业部门、大型企业单位下发消防工作提示信息，明确消防安全风险排查方法、标准及措施。充分发挥消防工作联席会议及消防安全委员会平台作用，提升行业部门消防安全“监管能力”，向教育、卫健、民政、文旅（文物）及宗教等重点行业部门发送提示函，推进学校、医院、社会福利院、文物及宗教场所等单位标准化管理，年内培树48个行业标准化管理达标创建示范单位，逐步实现典型引路，以点带面，全面推进，群众满意度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我单位各项工作成效上，一是火灾防控基层基础工作进一步夯实，二是社会面火灾防控和应急处置能力进一步提升，三是消防救援人员执勤、生活条件进一步改善，四是全民消防安全知识水平进一步提高，五是消防执法改革进一步推进，七是队伍凝聚力水平进一步增强，详细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伊犁州消防救援支队部门单位整体绩效目标共设置一级指标3个，二级指标7个，三级指标17个，详细说明如下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指标1：全年开展社会面火灾防控专项整治行动及消防宣传活动次数，指标值：&gt;=15次，实际完成值：16次 ，指标完成率106.67%；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指标2：保障在职人员人数，指标值：=5人，实际完成值：7人，指标完成率140.00%；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指标3：消防保障费及高危行业补助、伙食补助资金人数，指标值：=111人，实际完成值： 111人，指标完成率100.00%；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指标4：全年开展“双随机、一公开”监督检查单位数，指标值：&gt;=120个，实际完成值：171个，指标完成率142.50%；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指标1：工资及公用经费保障率，指标值：=100%，实际完成值： 100%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指标2：重点单位监督检查覆盖率，指标值：=100%，实际完成值： 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指标3：推广应用“新疆消防重点单位知识培训微信小程序”覆盖率，指标值：=100%，实际完成值： 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指标1：年度监督检查任务完成率，指标值：=100%，实际完成值： 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指标2：资金发放及时性，指标值：=100%，实际完成值： 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指标1：全年消防保障费，指标值：=444万元，实际完成值： 444万元，指标完成率100.00%；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指标2：人均运转经费数，指标值：&lt;=0.99万元，实际完成值：0.65万元，指标完成率65.66%；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指标3：全年消防高危行业补助、伙食补助成本，指标值：&lt;=72.68万元，实际完成值：72.68万元，指标完成率100.00%；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指标4：人均支出标准，指标值：&lt;=9.31万元，实际完成值：6.61万元，指标完成率70.80%；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指标1：确保全州火灾形势平稳和社会面形势安全稳定，指标值：持续稳定，实际完成值：持续稳定 ，指标完成率100.00%；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7、可持续影响指标：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指标1：提升行业系统消防安全监管能力及消防工作社会化水平，指标值：不断提升，实际完成值：不断提升，指标完成率100.00%；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指标1：受助人员满意度，指标值：&gt;=90%，实际完成值：=100% ，指标完成率111.11%；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指标2：职工满意度，指标值：&gt;=90%，实际完成值：=100% ，指标完成率111.11%。</w:t>
      </w:r>
    </w:p>
    <w:p w14:paraId="4D3E30D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5912FC22">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通过预算绩效管理，发现资金使用计划性有待加强，中央转移支付基建项目资金到位时间较晚，加之当地社会特殊环境因素影响，基建项目施工进度缓慢，导致了项目工程进度款支付滞后。</w:t>
      </w:r>
    </w:p>
    <w:p w14:paraId="65E5B22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490E58CB">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（一）改进措施</w:t>
      </w:r>
      <w:r>
        <w:rPr>
          <w:rFonts w:hint="eastAsia" w:ascii="仿宋_GB2312" w:hAnsi="宋体" w:eastAsia="仿宋_GB2312"/>
          <w:b/>
          <w:sz w:val="32"/>
          <w:szCs w:val="32"/>
        </w:rPr>
        <w:br w:type="textWrapping"/>
      </w:r>
      <w:r>
        <w:rPr>
          <w:rFonts w:hint="eastAsia" w:ascii="仿宋_GB2312" w:hAnsi="宋体" w:eastAsia="仿宋_GB2312"/>
          <w:b/>
          <w:sz w:val="32"/>
          <w:szCs w:val="32"/>
        </w:rPr>
        <w:t>进一步细化收支项目，按项目、按时间、按进度支付基建项目资金，提高资金的使用效益。</w:t>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br w:type="textWrapping"/>
      </w:r>
      <w:r>
        <w:rPr>
          <w:rFonts w:hint="eastAsia" w:ascii="仿宋_GB2312" w:hAnsi="宋体" w:eastAsia="仿宋_GB2312"/>
          <w:b/>
          <w:sz w:val="32"/>
          <w:szCs w:val="32"/>
        </w:rPr>
        <w:t>一是加强领导，精心组织，逐步推开，实现编制预算绩效目标全覆盖；二是完善相关制度落实和技术支撑；三是继续加强对各部门申报项目的指导，使项目编制更加符合绩效评价相关要求，适时开展培训，提高各部门、实施单位对专项资金使用绩效评价工作重要意义的认识，牢固树立绩效管理理念，同时进一步提高绩效评价工作方式、方法，将已完成的所有工作绩效成果充分体现出来。</w:t>
      </w:r>
    </w:p>
    <w:p w14:paraId="37F0658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550E91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3CBC64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9593</Words>
  <Characters>10411</Characters>
  <Lines>2</Lines>
  <Paragraphs>1</Paragraphs>
  <TotalTime>12</TotalTime>
  <ScaleCrop>false</ScaleCrop>
  <LinksUpToDate>false</LinksUpToDate>
  <CharactersWithSpaces>10460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2025-05-27T11:28:08Z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eyJoZGlkIjoiZTJlNDBmZDg4NzQzM2UxZWE4MWMzYTNmYjU4NjJhMzkiLCJ1c2VySWQiOiIzODc1NDM2MTYifQ==</vt:lpwstr>
  </property>
  <property fmtid="{D5CDD505-2E9C-101B-9397-08002B2CF9AE}" pid="3" name="KSOProductBuildVer">
    <vt:lpwstr>2052-12.1.0.21171</vt:lpwstr>
  </property>
  <property fmtid="{D5CDD505-2E9C-101B-9397-08002B2CF9AE}" pid="4" name="ICV">
    <vt:lpwstr>019EFF1596054711B6EAB8E15F660DD3_12</vt:lpwstr>
  </property>
</Properties>
</file>