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830FC">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30C40F17">
      <w:pPr>
        <w:spacing w:line="540" w:lineRule="exact"/>
        <w:jc w:val="center"/>
        <w:rPr>
          <w:rFonts w:ascii="方正小标宋_GBK" w:hAnsi="华文中宋" w:eastAsia="方正小标宋_GBK" w:cs="宋体"/>
          <w:b/>
          <w:kern w:val="0"/>
          <w:sz w:val="48"/>
          <w:szCs w:val="48"/>
        </w:rPr>
      </w:pPr>
    </w:p>
    <w:p w14:paraId="7676A58D">
      <w:pPr>
        <w:spacing w:line="540" w:lineRule="exact"/>
        <w:jc w:val="center"/>
        <w:rPr>
          <w:rFonts w:ascii="方正小标宋_GBK" w:hAnsi="华文中宋" w:eastAsia="方正小标宋_GBK" w:cs="宋体"/>
          <w:b/>
          <w:kern w:val="0"/>
          <w:sz w:val="48"/>
          <w:szCs w:val="48"/>
        </w:rPr>
      </w:pPr>
    </w:p>
    <w:p w14:paraId="4EB87F1A">
      <w:pPr>
        <w:spacing w:line="540" w:lineRule="exact"/>
        <w:jc w:val="center"/>
        <w:rPr>
          <w:rFonts w:ascii="方正小标宋_GBK" w:hAnsi="华文中宋" w:eastAsia="方正小标宋_GBK" w:cs="宋体"/>
          <w:b/>
          <w:kern w:val="0"/>
          <w:sz w:val="48"/>
          <w:szCs w:val="48"/>
        </w:rPr>
      </w:pPr>
    </w:p>
    <w:p w14:paraId="4411CA7C">
      <w:pPr>
        <w:spacing w:line="540" w:lineRule="exact"/>
        <w:jc w:val="center"/>
        <w:rPr>
          <w:rFonts w:ascii="方正小标宋_GBK" w:hAnsi="华文中宋" w:eastAsia="方正小标宋_GBK" w:cs="宋体"/>
          <w:b/>
          <w:kern w:val="0"/>
          <w:sz w:val="48"/>
          <w:szCs w:val="48"/>
        </w:rPr>
      </w:pPr>
    </w:p>
    <w:p w14:paraId="68F807CA">
      <w:pPr>
        <w:spacing w:line="540" w:lineRule="exact"/>
        <w:jc w:val="center"/>
        <w:rPr>
          <w:rFonts w:ascii="方正小标宋_GBK" w:hAnsi="华文中宋" w:eastAsia="方正小标宋_GBK" w:cs="宋体"/>
          <w:b/>
          <w:kern w:val="0"/>
          <w:sz w:val="48"/>
          <w:szCs w:val="48"/>
        </w:rPr>
      </w:pPr>
    </w:p>
    <w:p w14:paraId="0664F812">
      <w:pPr>
        <w:spacing w:line="540" w:lineRule="exact"/>
        <w:jc w:val="center"/>
        <w:rPr>
          <w:rFonts w:ascii="方正小标宋_GBK" w:hAnsi="华文中宋" w:eastAsia="方正小标宋_GBK" w:cs="宋体"/>
          <w:b/>
          <w:kern w:val="0"/>
          <w:sz w:val="48"/>
          <w:szCs w:val="48"/>
        </w:rPr>
      </w:pPr>
    </w:p>
    <w:p w14:paraId="1DBE5D0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664893C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EC94CF0">
      <w:pPr>
        <w:spacing w:line="540" w:lineRule="exact"/>
        <w:jc w:val="center"/>
        <w:rPr>
          <w:rFonts w:ascii="华文中宋" w:hAnsi="华文中宋" w:eastAsia="华文中宋" w:cs="宋体"/>
          <w:b/>
          <w:kern w:val="0"/>
          <w:sz w:val="52"/>
          <w:szCs w:val="52"/>
        </w:rPr>
      </w:pPr>
    </w:p>
    <w:p w14:paraId="32EC6367">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A430171">
      <w:pPr>
        <w:spacing w:line="540" w:lineRule="exact"/>
        <w:jc w:val="center"/>
        <w:rPr>
          <w:rFonts w:hAnsi="宋体" w:eastAsia="仿宋_GB2312" w:cs="宋体"/>
          <w:kern w:val="0"/>
          <w:sz w:val="30"/>
          <w:szCs w:val="30"/>
        </w:rPr>
      </w:pPr>
    </w:p>
    <w:p w14:paraId="212A11ED">
      <w:pPr>
        <w:spacing w:line="540" w:lineRule="exact"/>
        <w:jc w:val="center"/>
        <w:rPr>
          <w:rFonts w:hAnsi="宋体" w:eastAsia="仿宋_GB2312" w:cs="宋体"/>
          <w:kern w:val="0"/>
          <w:sz w:val="30"/>
          <w:szCs w:val="30"/>
        </w:rPr>
      </w:pPr>
    </w:p>
    <w:p w14:paraId="300C0C47">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725B44B1">
      <w:pPr>
        <w:spacing w:line="540" w:lineRule="exact"/>
        <w:jc w:val="center"/>
        <w:rPr>
          <w:rFonts w:hAnsi="宋体" w:eastAsia="仿宋_GB2312" w:cs="宋体"/>
          <w:kern w:val="0"/>
          <w:sz w:val="30"/>
          <w:szCs w:val="30"/>
        </w:rPr>
      </w:pPr>
    </w:p>
    <w:p w14:paraId="008A4FDD">
      <w:pPr>
        <w:spacing w:line="540" w:lineRule="exact"/>
        <w:jc w:val="center"/>
        <w:rPr>
          <w:rFonts w:hAnsi="宋体" w:eastAsia="仿宋_GB2312" w:cs="宋体"/>
          <w:kern w:val="0"/>
          <w:sz w:val="30"/>
          <w:szCs w:val="30"/>
        </w:rPr>
      </w:pPr>
    </w:p>
    <w:p w14:paraId="452856CD">
      <w:pPr>
        <w:spacing w:line="540" w:lineRule="exact"/>
        <w:jc w:val="center"/>
        <w:rPr>
          <w:rFonts w:hAnsi="宋体" w:eastAsia="仿宋_GB2312" w:cs="宋体"/>
          <w:kern w:val="0"/>
          <w:sz w:val="30"/>
          <w:szCs w:val="30"/>
        </w:rPr>
      </w:pPr>
    </w:p>
    <w:p w14:paraId="33AD0639">
      <w:pPr>
        <w:spacing w:line="540" w:lineRule="exact"/>
        <w:rPr>
          <w:rFonts w:hAnsi="宋体" w:eastAsia="仿宋_GB2312" w:cs="宋体"/>
          <w:kern w:val="0"/>
          <w:sz w:val="30"/>
          <w:szCs w:val="30"/>
        </w:rPr>
      </w:pPr>
    </w:p>
    <w:p w14:paraId="7F36DD0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5B4F3D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4C96EC99">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34FCABD5">
      <w:pPr>
        <w:spacing w:line="700" w:lineRule="exact"/>
        <w:jc w:val="left"/>
        <w:rPr>
          <w:rFonts w:hAnsi="宋体" w:eastAsia="仿宋_GB2312" w:cs="宋体"/>
          <w:kern w:val="0"/>
          <w:sz w:val="36"/>
          <w:szCs w:val="36"/>
        </w:rPr>
      </w:pPr>
    </w:p>
    <w:p w14:paraId="19C69AB2">
      <w:pPr>
        <w:spacing w:line="700" w:lineRule="exact"/>
        <w:jc w:val="left"/>
        <w:rPr>
          <w:rFonts w:hAnsi="宋体" w:eastAsia="仿宋_GB2312" w:cs="宋体"/>
          <w:kern w:val="0"/>
          <w:sz w:val="36"/>
          <w:szCs w:val="36"/>
        </w:rPr>
      </w:pPr>
    </w:p>
    <w:p w14:paraId="1A366579">
      <w:pPr>
        <w:spacing w:line="700" w:lineRule="exact"/>
        <w:jc w:val="left"/>
        <w:rPr>
          <w:rFonts w:hAnsi="宋体" w:eastAsia="仿宋_GB2312" w:cs="宋体"/>
          <w:kern w:val="0"/>
          <w:sz w:val="36"/>
          <w:szCs w:val="36"/>
        </w:rPr>
      </w:pPr>
    </w:p>
    <w:p w14:paraId="41303C2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2DA549ED">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（一）根据自治州人民政府授权,依照《中华人民共和国公司法》《企业国有资产法》等法律、法规履行出资人职责，监管州属企业的国有资产，加强国有资产管理，对县市国有资产管理工作进行指导和监督。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承担监督所监管企业国有资产保值增值的责任。建立和完善国有资产保值增值指标体系，拟订考核标准，通过统计、稽核等对监管企业国有资产保值增值情况进行监管。依法向自治州人民政府报告所监管企业国有资产监管运营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坚持和加强党的领导，履行所监管企业和党组织关系归口管理企业党建工作的日常管理职责，指导做好党的建设和全面从严治党工作。会同有关部门做好所监管企业领导班子管理和人才队伍建设工作通过法定程序，按照干部管理权限对所监管企业领导人员进行考核、任免并根据其经营业绩进行奖惩，建立适应中国特色现代国有企业制度要求和市场竞争需要的选人用人机制，完善经营者激励和约束机制。协调指导所监管企业做好工会、青年、妇女和信访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（四）指导推进国有企业改革和重组，推进国有企业的现代企业制度建设，完善公司治理结构。以管资本为主推动国有资本合理流动，加快国有经济布局优化、结构调整、战略性重组。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（五）负责所监管企业负责人经营业绩考核和薪酬管理，提出所监管企业负责人收入分配政策并组织实施和监督检查。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负责组织所监管企业上交国有资本收益，参与制定国有资本经营预算有关管理制度和办法，承办所监管企业国有资本经营预决算编制和执行等工作。组织实施改组(组建)国有资本投资、运营公司，指导企业开展国有资本运营。推进经营性国有资产集中统一监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（七）根据监管清单，审核所监管企业的发展战略和规划、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重大项目投资、重大资产处置等项。会同有关部门协调对口援伊省(市)国有企业产业援伊工作。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（八）起草国有资产管理的地方性法规和政府规章草案,制定有关制度。指导所监管企业法律顾问和法治国企建设工作。负责州属企业国有资产基础管理工作，规范国有产权转让及交易行为。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伊犁州人民政府国有资产监督管理委员会无下属预算单位，下设4个处室，分别是：办公室(人事教育处、离退休干部工作处)、产权管理与国企改革处、财务管理与业绩考核处、党建工作处。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（2）2021年伊犁州人民政府国有资产监督管理委员会实有在职人员为14人，其中：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行政在职14人（上年17人），同比上年减少3人。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同比上年增加0人。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实有退休人员9人（上年9人）, 同比上年增加0人。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我委全面贯彻落实党的十九届历次全会精神紧紧围绕促进自治州中心工作，聚焦落实总目标。监管州属企业的国有资产，完善职能及相关法律法规、拟定考核指标，对县市国有资产管理工作，实现国有企业保值增值，通过统计对监管企业国有资产保值增值进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2021年我单位全年预算数为275.51万元，其中：年初批复的财政拨款为256.12万元，年中追加资金19.39万元，调整率7.57%。对比上年266.06 万元增加9.45万元，上升3.55%。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2021年实际决算支出275.00万元，执行率99.81%，其中：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255.45万元，占总支出的92.89％，主要用于本单位机构正常运转、完成日常工作任务而发生的各项支出。其中：工资福利支出224.69万元，主要用于在职和离退休人员基本工资、津贴补贴等人员经费。商品和服务支出28.09万元，主要用于办公费、印刷费、水电费、办公设备购置等。对个人和家庭的补助2.67万元，主要用于退休人员统筹外项目、暖气费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（2）项目支出19.54万元，占总支出的7.1％，补助补贴和租金类项目2.54万元，主要用于解决安保人员待遇。经济发展类项目17万元，主要用于国资监管暨国企改革发展，赴外县市调研考察，迎接检查等办公费开支。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 17万元，重点支出保障率87.00%。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（4）本年度我单位全年政府采购预算14.08万元,实际用于政府采购金额13.62万元，采购执行率96.73 %。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次部门（单位）整体支出绩效自评采用成本效益分析法方法，原因是：本单位人员经费及公用经费均按照部门预算实际数额支出，包括三项工作任务：人员工资、奖金、绩效、社保缴费等支出；办公费、差旅费、培训费、工会经费、车辆运行费、水电费、电话费等支出；对个人和家庭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涉及对象：本次评价对象是伊犁州人民政府国有资产监督管理委员会所有财政资金支出活动。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①基本支出255.51万元，其中：工资福利支出224.75万元、商品和服务支出28.09万元、对个人和家庭的补助支出2.67万元。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②项目支出20.00万元，补助补贴和租金类项目2.54万元、经济发展类项目17.46万元。</w:t>
      </w:r>
      <w:bookmarkStart w:id="0" w:name="_Hlk43849111"/>
      <w:bookmarkEnd w:id="0"/>
    </w:p>
    <w:p w14:paraId="1E3B7FD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6679E64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州人民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单位按照财政要求基本支出分月度申报资金使用计划，由财政部门按照进度每月按期拨付，人员支出按照工资计划发放工资；依照伊犁州人民政府国有资产监督管理委员会《预算法》相关规定和伊犁州人民政府国有资产监督管理委员会《预算资金管理办法》规定流程，资金支出按照我委内控体系中设定的流程申报审批进行；项目支出属于政府采购的，按照《伊犁州人民政府国有资产监督管理委员会采购与招标管理办法》组织人员制定采购计划，按照财政局采购部门批复，进行公开招标、邀请招标等方式进行；属于非政府采购的项目，按照“三重一大”制度规定，重大项目支出上委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2021年基本支出预算安排255.51万元，实际到位255.51万元,实际支出255.45 万元，占总支出的92.89％，其中：工资福利支出224.69万元、商品和服务支出28.09 万元、对个人和家庭的补助2.67 万元、主要用于本单位机构正常运转、完成日常工作任务而发生的各项支出。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2021年基本支出比上年266.06 万元,增加9.45 万元，上升3.5%，支出上升的主要原因是支付在职人员工资提高。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2021年一般公共预算“三公”经费数为3.45万元，其中：因公出国（境）费 0 万元，公务用车购置0 万元，公务用车运行费3.45万元，公务接待费 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2021年一般公共预算“三公”经费比上年增加0 万元，其中：因公出国（境）费0 万元，主要原因是本年和上年均未安排预算；公务用车购置费为增加0万元，本年和上年均未安排预算。公务用车运行费增加0 万元，主要原因是与上年一致 ；公务接待费增加0万元，本年和上年均未安排预算。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2021年预算安排专项资金20万元，实际到位20万元, 到位率100.00％,其中:中央转移支付项目资金 0 万元，自治区资金 0 万元，本级安排 20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2021年专项资金支出19.54万元，占总支出的7.1%，其中2021年专项项目支出比上年 0 万元增加19.54万元，上升100.00%。支出上升的主要原因是上年度未安排专项资金。其中补助补贴和租金类项目安排2.54万元，主要用于解决安保人员待遇。经济发展类项目17万元，主要用于国资监管暨国企改革发展，赴外县市调研考察，审核企业报表、资产重组、迎接检查等办公费开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一是制定专项资金管理制度；二是各专项资金建立了专帐；三是制订了项目实施方案；四是认真组织项目验收。切实确保专项资金都做到了专款专用。其中：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人民政府国有资产监督管理委员会专项资金管理办法》，各项资金使用审批流程均按规定办理。涉及“三重一大”内容，严格按照规定提请委党委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（2）建立伊犁州人民政府国有资产监督管理委员会专项资金专帐，做到有据可依，有据可查。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（3）制订了伊犁州人民政府国有资产监督管理委员会项目实施方案，确保项目正常建设及运行。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（4）认真组织伊犁州人民政府国有资产监督管理委员会项目验收，确保项目正常投入使用、发挥效益。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专项资金涉及政府采购项目的，按照《伊犁州人民政府国有资产监督管理委员会采购与招标管理办法》组织人员制定采购计划，按照财政局采购部门批复，进行公开招标、邀请招标等方式进行。</w:t>
      </w:r>
    </w:p>
    <w:p w14:paraId="6FAA353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656941C">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国资监管暨国企改革发展项目、安保人员待遇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20万元，实际到位20万元，资金到位率100.00%。截止到2021年12月31日执行19.54万元，执行率97.70%。其中：2021年结转专项资金0.00万元，实际执行0.00万元，执行率为0.00%；2021年新增专项资金20万元，实际执行19.54万元，执行率为97.70%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国资委，根据2021年2个项目的绩效目标及工作内容，将其细化分工至本单位负责人崔万里，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伊犁州国资委，实施的2个项目，由相关业务处室指派专人进行全过程跟踪管理，处室负责人统筹推进项目实施，单位领导不定期对项目进度进行调度，并对项目质量进行控制。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崔万里从项目实施方案、项目预算、项目建设进度、项目成本、项目验收等环节，全过程对项目进行监管，并向本单位主要领导报告，以推进项目建设和提高项目质量，以发挥资金使用效益。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国资委，所涉及专项项目均已于专项资金下达后按照资金文件及绩效管理要求设置《项目绩效目标表》。2个专项项目预算总额为20万元，在项目实施过程中，业务人员加强项目管理，合理控制项目成本，截止项目结束，2个项目总成本为19.54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伊犁州国资委，所涉及专项项目使用资金比专项项目总预算减少0.46万元，项目节约率为2.3%。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2021年伊犁州国资委共涉及专项项目2个，截止到2021年底，通过专项项目实施过程中的有效监督，我单位按预期完成了2个专项的各项专项任务，项目总体完成率为101.61%。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①国资监管暨国企改革发展项目，成立领导小组赴县市调研，审核国有企业报表，国有企业重组，截止2021年12月底， 该项目完成共投资17万元，用于处理国企改革，清产核资、资产评估、统计国有监管企业年报181户、国有资产重组整合等。前往伊犁州县市国有企业调研考察12户、涉及国有企业重组整合10户等。组织国资监管企业人员招商引资活动、宣传推介、负责投资的接待、洽谈、考察等组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安保人员，按照项目绩效目标表保障州国资委综合3号楼2021年度维稳值班、疫情防控、安全生产工作有序进行，分摊给州国资委7名安保、保洁工作人员，保障每位安保人员工资按计划进度已发放到位。有效保障和维护好3号综合楼的运转、有效提高3号综合楼的工作效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国资监管暨国企改革发展项目，成立领导小组赴县市调研，审核国有企业报表，国有企业重组，采购相关工作按照项目绩效目标表设置较好的完成半年度相关工作，有效推动伊犁州国有企业经济发展，有效提高伊犁州国资监管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②安保人员，按照项目绩效目标表本年度保障安保人员待遇发放，有效保障和维护好3号综合楼的运转、有效提高3号综合楼的工作效率。</w:t>
      </w:r>
    </w:p>
    <w:p w14:paraId="0AF044A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56F5291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2021年我单位资产总额868.43万元，其中流动资产854.68万元（其中其他应收款843.85万元,货币资金10.83），固定资产净值13.74万元（其中：土地、房屋及构筑物 0 万元，占固定资产净值的0.00%；通用设备 0 万元，占固定资产净值的100.00%；专用设备0 万元，占固定资产净值的0.00%）。</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本年度流动资产10.83万元，比上年减少9.53万元，原因是：缴纳</w:t>
      </w:r>
      <w:r>
        <w:rPr>
          <w:rFonts w:hint="eastAsia" w:ascii="仿宋_GB2312" w:hAnsi="宋体" w:eastAsia="仿宋_GB2312"/>
          <w:b/>
          <w:sz w:val="32"/>
          <w:szCs w:val="32"/>
          <w:lang w:val="en-US" w:eastAsia="zh-CN"/>
        </w:rPr>
        <w:t>社会</w:t>
      </w:r>
      <w:bookmarkStart w:id="1" w:name="_GoBack"/>
      <w:bookmarkEnd w:id="1"/>
      <w:r>
        <w:rPr>
          <w:rFonts w:hint="eastAsia" w:ascii="仿宋_GB2312" w:hAnsi="宋体" w:eastAsia="仿宋_GB2312"/>
          <w:b/>
          <w:sz w:val="32"/>
          <w:szCs w:val="32"/>
        </w:rPr>
        <w:t>保险款。</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 79.54万元，比上年减少22.5万元，原因是：划出公车一辆。</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实际在用固定资产79.54万元，固定资产利用率100.00%。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本单位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C3B3B9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7EB80C62">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2021年度我单位年初预算安排256.12万元，年中调整19.39万元，截止12月底支出275.00万元，执行率99.81%。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2021年，在州政府的大力支持和州党委的正确领导下，我单位迎难而上、务实重干，积极推动国资工作取得了新的进展，为促进经济持续健康发展与社会和谐稳定提供了有力的经济支撑和保障。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1、圆满完成监管州属企业的改革及指导监督工作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（一）根据自治州人民政府授权,依照《中华人民共和国公司法》《企业国有资产法》等法律、法规履行出资人职责，监管州属企业的国有资产，加强国有资产管理，对县市国有资产管理工作进行指导和监督。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（二）承担监督所监管企业国有资产保值增值的责任。建立和完善国有资产保值增值指标体系，拟订考核标准，通过统计、稽核等对监管企业国有资产保值增值情况进行监管。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坚持和加强党的领导，履行所监管企业和党组织关系归口管理企业党建工作的日常管理职责，指导做好党的建设和全面从严治党工作。会同有关部门做好所监管企业领导班子管理和人才队伍建设工作通过法定程序，按照干部管理权限对所监管企业领导人员进行考核、任免并根据其经营业绩进行奖惩，建立适应中国特色现代国有企业制度要求和市场竞争需要的选人用人机制，完善经营者激励和约束机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（四）指导推进国有企业改革和重组，推进国有企业的现代企业制度建设，完善公司治理结构。以管资本为主推动国有资本合理流动，加快国有经济布局优化、结构调整、战略性重组。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（五）负责所监管企业负责人经营业绩考核和薪酬管理，提出所监管企业负责人收入分配政策并组织实施和监督检查。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负责组织所监管企业上交国有资本收益，参与制定国有资本经营预算有关管理制度和办法，承办所监管企业国有资本经营预决算编制和执行等工作。组织实施改组(组建)国有资本投资、运营公司，指导企业开展国有资本运营。推进经营性国有资产集中统一监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（七）根据监管清单，审核所监管企业的发展战略和规划、重大项目投资、重大资产处置等项。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（八）起草国有资产管理的地方性法规和政府规章草案,制定有关制度。指导所监管企业法律顾问和法治国企建设工作。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进一步提升国资监管的能力和水平，有效提高国有企业经济管理水平；二是促进机关运转提速，完善工作管理制度，提升信息工作水平，增强信息化平台建设，提高机关综合办事能力，总结新经验，解决新问题；三是统筹兼顾，突出重点，做好资金管理工作。持续推进机关调研等各项工作，努力提高国资监管业务保障能力。四是指导推进国有企业改革和重组，推进国有企业的现代企业制度建设，完善公司治理结构。以管资本为主推动国有资本合理流动，加快国有经济布局优化、结构调整、战略性重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截止2021年12月底，按照实施项目进度完成指标，履行出资人职责，监管州属企业的国有资产，加强国有资产管理，对县市国有资产管理工作进行指导和监督。承担监督所监管企业国有资产保值增值的责任。坚持和加强党的领导，履行所监管企业和党组织关系归口管理企业党建工作的日常管理职责，指导做好党的建设和全面从严治党工作。指导推进国有企业改革和重组，推进国有企业的现代企业制度建设，完善公司治理结构。负责所监管企业负责人经营业绩考核和薪酬管理，提出所监管企业负责人收入分配政策并组织实施和监督检查。负责组织所监管企业上交国有资本收益，参与制定国有资本经营预算有关管理制度和办法，承办所监管企业国有资本经营预决算编制和执行等工作。根据监管清单，审核所监管企业的发展战略和规划、重大项目投资、重大资产处置等项。起草国有资产管理的地方性法规和政府规章草案,制定有关制度。完成自治州党委、自治州人民政府交办的其他任务。2.保障部门单位人员发放工资福利支出及运转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伊犁州国资委部门单位整体绩效目标共设置一级指标3个，二级指标  6个，三级指标8 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指标1：保障在职人员人数，指标值：＞=17人，实际完成值：16人 ，指标完成率94.11%；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 ，实际完成值：100%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 资金发放及时性，指标值： ＞=98%， 实际完成值： 100% ，指标完成率102.04%；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 人均支出标准，指标值：&lt;=13.29万元 ，实际完成值：12.74万元 ，指标完成率95.86%；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 ，指标值： &lt;=1.77万元，实际完成值： 1.75万元 ，指标完成率98.87%；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指标1：提高国有企业经济管理水平，指标值：有效提高，实际完成值：有效提高，指标完成率100.00%；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指标2：国资监管业务保障能力，指标值：有效提升，实际完成值：有效提升，指标完成率100.00%；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指标1：职工满意度，指标值：＞=98% ，实际完成值：100% ，指标完成率102.04%；</w:t>
      </w:r>
    </w:p>
    <w:p w14:paraId="4BDEAED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46B13A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在整体支出绩效系统里申报2021年人均支出标准数 ，年初设置人均支出标准数指标值&lt;=13.29万元，实际完成值12.74万元，原因为本年度3名领导调出，人员经费相应调减。</w:t>
      </w:r>
    </w:p>
    <w:p w14:paraId="60B7826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7CDAC18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改进措施:伊犁州国资委机关财务将严格依据部门预算指标执行。一是确保预算资金按照类款项使用，杜绝串款；二是加强业务学习，确保机关财务在制度下阳光运行，有效发挥财政预算资金的使用效率；三是按照预算规定的资金性质和用途使用，严格执行财务审核程序，经费支出严格按预算规定项目的财务支出内容进行财务核算，在预算金额内严格控制费用的支出。四是严格控制“三公”经费支出，做到厉行节约。</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加强整体绩效管理组织学习，使对其有更科学更全面的认识，推动绩效监控工作可持续发展，提高部门预算资金的利用效率，更好的完成整体绩效管理工作。</w:t>
      </w:r>
    </w:p>
    <w:p w14:paraId="7CAC595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16AD26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F227AD4"/>
    <w:rsid w:val="344F3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8848</Words>
  <Characters>9371</Characters>
  <Lines>2</Lines>
  <Paragraphs>1</Paragraphs>
  <TotalTime>0</TotalTime>
  <ScaleCrop>false</ScaleCrop>
  <LinksUpToDate>false</LinksUpToDate>
  <CharactersWithSpaces>9467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2025-02-28T09:45:33Z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5A5ADE3BAEFF40D6B2A7F266BF8D95BB</vt:lpwstr>
  </property>
  <property fmtid="{D5CDD505-2E9C-101B-9397-08002B2CF9AE}" pid="4" name="KSOTemplateDocerSaveRecord">
    <vt:lpwstr>eyJoZGlkIjoiZTJlNDBmZDg4NzQzM2UxZWE4MWMzYTNmYjU4NjJhMzkiLCJ1c2VySWQiOiIzODc1NDM2MTYifQ==</vt:lpwstr>
  </property>
</Properties>
</file>