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5B3F9">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2B863724">
      <w:pPr>
        <w:spacing w:line="540" w:lineRule="exact"/>
        <w:jc w:val="center"/>
        <w:rPr>
          <w:rFonts w:ascii="方正小标宋_GBK" w:hAnsi="华文中宋" w:eastAsia="方正小标宋_GBK" w:cs="宋体"/>
          <w:b/>
          <w:kern w:val="0"/>
          <w:sz w:val="48"/>
          <w:szCs w:val="48"/>
        </w:rPr>
      </w:pPr>
    </w:p>
    <w:p w14:paraId="56FE3831">
      <w:pPr>
        <w:spacing w:line="540" w:lineRule="exact"/>
        <w:jc w:val="center"/>
        <w:rPr>
          <w:rFonts w:ascii="方正小标宋_GBK" w:hAnsi="华文中宋" w:eastAsia="方正小标宋_GBK" w:cs="宋体"/>
          <w:b/>
          <w:kern w:val="0"/>
          <w:sz w:val="48"/>
          <w:szCs w:val="48"/>
        </w:rPr>
      </w:pPr>
    </w:p>
    <w:p w14:paraId="71BEA104">
      <w:pPr>
        <w:spacing w:line="540" w:lineRule="exact"/>
        <w:jc w:val="center"/>
        <w:rPr>
          <w:rFonts w:ascii="方正小标宋_GBK" w:hAnsi="华文中宋" w:eastAsia="方正小标宋_GBK" w:cs="宋体"/>
          <w:b/>
          <w:kern w:val="0"/>
          <w:sz w:val="48"/>
          <w:szCs w:val="48"/>
        </w:rPr>
      </w:pPr>
    </w:p>
    <w:p w14:paraId="393401E7">
      <w:pPr>
        <w:spacing w:line="540" w:lineRule="exact"/>
        <w:jc w:val="center"/>
        <w:rPr>
          <w:rFonts w:ascii="方正小标宋_GBK" w:hAnsi="华文中宋" w:eastAsia="方正小标宋_GBK" w:cs="宋体"/>
          <w:b/>
          <w:kern w:val="0"/>
          <w:sz w:val="48"/>
          <w:szCs w:val="48"/>
        </w:rPr>
      </w:pPr>
    </w:p>
    <w:p w14:paraId="1B39C0AE">
      <w:pPr>
        <w:spacing w:line="540" w:lineRule="exact"/>
        <w:jc w:val="center"/>
        <w:rPr>
          <w:rFonts w:ascii="方正小标宋_GBK" w:hAnsi="华文中宋" w:eastAsia="方正小标宋_GBK" w:cs="宋体"/>
          <w:b/>
          <w:kern w:val="0"/>
          <w:sz w:val="48"/>
          <w:szCs w:val="48"/>
        </w:rPr>
      </w:pPr>
    </w:p>
    <w:p w14:paraId="11A18AD0">
      <w:pPr>
        <w:spacing w:line="540" w:lineRule="exact"/>
        <w:jc w:val="center"/>
        <w:rPr>
          <w:rFonts w:ascii="方正小标宋_GBK" w:hAnsi="华文中宋" w:eastAsia="方正小标宋_GBK" w:cs="宋体"/>
          <w:b/>
          <w:kern w:val="0"/>
          <w:sz w:val="48"/>
          <w:szCs w:val="48"/>
        </w:rPr>
      </w:pPr>
    </w:p>
    <w:p w14:paraId="7D56F87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0C87FD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8039830">
      <w:pPr>
        <w:spacing w:line="540" w:lineRule="exact"/>
        <w:jc w:val="center"/>
        <w:rPr>
          <w:rFonts w:ascii="华文中宋" w:hAnsi="华文中宋" w:eastAsia="华文中宋" w:cs="宋体"/>
          <w:b/>
          <w:kern w:val="0"/>
          <w:sz w:val="52"/>
          <w:szCs w:val="52"/>
        </w:rPr>
      </w:pPr>
    </w:p>
    <w:p w14:paraId="1CF259AF">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86745CD">
      <w:pPr>
        <w:spacing w:line="540" w:lineRule="exact"/>
        <w:jc w:val="center"/>
        <w:rPr>
          <w:rFonts w:hAnsi="宋体" w:eastAsia="仿宋_GB2312" w:cs="宋体"/>
          <w:kern w:val="0"/>
          <w:sz w:val="30"/>
          <w:szCs w:val="30"/>
        </w:rPr>
      </w:pPr>
    </w:p>
    <w:p w14:paraId="4CED77EE">
      <w:pPr>
        <w:spacing w:line="540" w:lineRule="exact"/>
        <w:jc w:val="center"/>
        <w:rPr>
          <w:rFonts w:hAnsi="宋体" w:eastAsia="仿宋_GB2312" w:cs="宋体"/>
          <w:kern w:val="0"/>
          <w:sz w:val="30"/>
          <w:szCs w:val="30"/>
        </w:rPr>
      </w:pPr>
    </w:p>
    <w:p w14:paraId="4D1EB09D">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2D6A57FE">
      <w:pPr>
        <w:spacing w:line="540" w:lineRule="exact"/>
        <w:jc w:val="center"/>
        <w:rPr>
          <w:rFonts w:hAnsi="宋体" w:eastAsia="仿宋_GB2312" w:cs="宋体"/>
          <w:kern w:val="0"/>
          <w:sz w:val="30"/>
          <w:szCs w:val="30"/>
        </w:rPr>
      </w:pPr>
    </w:p>
    <w:p w14:paraId="63BE86C2">
      <w:pPr>
        <w:spacing w:line="540" w:lineRule="exact"/>
        <w:jc w:val="center"/>
        <w:rPr>
          <w:rFonts w:hAnsi="宋体" w:eastAsia="仿宋_GB2312" w:cs="宋体"/>
          <w:kern w:val="0"/>
          <w:sz w:val="30"/>
          <w:szCs w:val="30"/>
        </w:rPr>
      </w:pPr>
    </w:p>
    <w:p w14:paraId="1F44B85D">
      <w:pPr>
        <w:spacing w:line="540" w:lineRule="exact"/>
        <w:jc w:val="center"/>
        <w:rPr>
          <w:rFonts w:hAnsi="宋体" w:eastAsia="仿宋_GB2312" w:cs="宋体"/>
          <w:kern w:val="0"/>
          <w:sz w:val="30"/>
          <w:szCs w:val="30"/>
        </w:rPr>
      </w:pPr>
    </w:p>
    <w:p w14:paraId="2A61933D">
      <w:pPr>
        <w:spacing w:line="540" w:lineRule="exact"/>
        <w:rPr>
          <w:rFonts w:hAnsi="宋体" w:eastAsia="仿宋_GB2312" w:cs="宋体"/>
          <w:kern w:val="0"/>
          <w:sz w:val="30"/>
          <w:szCs w:val="30"/>
        </w:rPr>
      </w:pPr>
    </w:p>
    <w:p w14:paraId="7C5A61A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26028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2DFE3CD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D71FB5A">
      <w:pPr>
        <w:spacing w:line="700" w:lineRule="exact"/>
        <w:jc w:val="left"/>
        <w:rPr>
          <w:rFonts w:hAnsi="宋体" w:eastAsia="仿宋_GB2312" w:cs="宋体"/>
          <w:kern w:val="0"/>
          <w:sz w:val="36"/>
          <w:szCs w:val="36"/>
        </w:rPr>
      </w:pPr>
    </w:p>
    <w:p w14:paraId="6E61B129">
      <w:pPr>
        <w:spacing w:line="700" w:lineRule="exact"/>
        <w:jc w:val="left"/>
        <w:rPr>
          <w:rFonts w:hAnsi="宋体" w:eastAsia="仿宋_GB2312" w:cs="宋体"/>
          <w:kern w:val="0"/>
          <w:sz w:val="36"/>
          <w:szCs w:val="36"/>
        </w:rPr>
      </w:pPr>
    </w:p>
    <w:p w14:paraId="20CD2773">
      <w:pPr>
        <w:spacing w:line="700" w:lineRule="exact"/>
        <w:jc w:val="left"/>
        <w:rPr>
          <w:rFonts w:hAnsi="宋体" w:eastAsia="仿宋_GB2312" w:cs="宋体"/>
          <w:kern w:val="0"/>
          <w:sz w:val="36"/>
          <w:szCs w:val="36"/>
        </w:rPr>
      </w:pPr>
    </w:p>
    <w:p w14:paraId="68C451F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0265AFE">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负责本行政区域交通运输管理事权行政执法的监督指导和组织协调工作。负责路政海事</w:t>
      </w:r>
      <w:r>
        <w:rPr>
          <w:rFonts w:hint="eastAsia" w:ascii="仿宋_GB2312" w:hAnsi="宋体" w:eastAsia="仿宋_GB2312"/>
          <w:b/>
          <w:sz w:val="32"/>
          <w:szCs w:val="32"/>
          <w:lang w:val="en-US" w:eastAsia="zh-CN"/>
        </w:rPr>
        <w:t>行政</w:t>
      </w:r>
      <w:r>
        <w:rPr>
          <w:rFonts w:hint="eastAsia" w:ascii="仿宋_GB2312" w:hAnsi="宋体" w:eastAsia="仿宋_GB2312"/>
          <w:b/>
          <w:sz w:val="32"/>
          <w:szCs w:val="32"/>
        </w:rPr>
        <w:t>执法统筹协调、重大案件查处和跨区域执法的组织工作；负责管辖的高速公旁、国省干线公路、管辖专用公路的超限治理工作；承担自治州治理超限超载领导小组办公室日常工作，协调全州超限超载治治理工作，指导治超非现场执法工作；负责州级海事行政执法工作。负责自治州级道路运输行政执法工作：承担城市客运运输市场监管责任；负责公共交通和出租车行业监督执法工作。负责交通运输行政执法合法性审查和重大执法决定法制审核；拟订交通运输综合行政执法安全生产规章制度并组织落实。负责管辖区域内国省干线公路（含高速公路）、专用公路的工程质量监督执法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伊犁哈萨克自治州交通运输综合行政执法局无下属预算单位，下设4个处室，分别是：综合业务科、路政海事执法科、运政执法科、法制安全科；下设一个执法机构，为自治州交通建设工程质量监督执法支队。</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（2）2021年伊犁州交通运输综合行政执法局实有在职人员为34人，其中：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行政在职29人（上年29人），同比上年增加0人。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事业在职5人（上年5人），同比上年增加0人。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实有退休人员0人。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人员及运转保障项目，计划投入545.78万元，用于保障部门单位人员发放工资、福利支出及对个人和家庭补助；用于日常办公经费、取暖费、三公经费、福利费及其他商品和服务支出。重点完成管辖区域内交通运输管理事权行政执法的监督指导和组织协调工作；路政海事</w:t>
      </w:r>
      <w:r>
        <w:rPr>
          <w:rFonts w:hint="eastAsia" w:ascii="仿宋_GB2312" w:hAnsi="宋体" w:eastAsia="仿宋_GB2312"/>
          <w:b/>
          <w:sz w:val="32"/>
          <w:szCs w:val="32"/>
          <w:lang w:val="en-US" w:eastAsia="zh-CN"/>
        </w:rPr>
        <w:t>行政</w:t>
      </w:r>
      <w:r>
        <w:rPr>
          <w:rFonts w:hint="eastAsia" w:ascii="仿宋_GB2312" w:hAnsi="宋体" w:eastAsia="仿宋_GB2312"/>
          <w:b/>
          <w:sz w:val="32"/>
          <w:szCs w:val="32"/>
        </w:rPr>
        <w:t>执法统筹协调、重大案件查处和跨区域执法的组织工作；管辖的高速公旁、国省干线公路、管辖专用公路的超限治理工作；自治州治理超限超载领导小组办公室日常工作，协调全州超限超载治治理工作，指导治超非现场执法工作；州级海事行政执法工作。完成自治州级道路运输行政执法工作，完成交通运输行政执法合法性审查和重大执法决定法制审核，拟订交通运输综合行政执法安全生产规章制度并组织落实。完成管辖区域内国省干线公路（含高速公路）、专用公路的工程质量监督执法工作。落实安全监管责任，稳定运输市场健康发展，深入推进交通运输执法领域突出问题专项整治行动，提升危险货物运输信息化管理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伊犁州交通运输综合行政执法局2021年执法监督工作项目，计划投入58.20万元，合理配置执法力量，整合建设交通运输综合行政执法队伍，达到加强依法履职，完善执法程序，规范执法行为，加强执法监督，落实执法责任的目标，更好推进交通运输高质量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2021年我单位全年预算数为545.78万元，其中：年初批复的财政拨款为546.37万元，年中追加0.59万元，调整率0.11%。对比上年0万元增加545.78万元，上升100%。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2021年实际决算支出525.69万元，执行率96.30%，其中：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467.49万元，占总支出的88.93％，主要用于本单位机构正常运转、完成日常工作任务而发生的各项支出。其中：工资福利支出427.97万元，主要用于在职人员基本工资、津贴补贴等人员经费。商品和服务支出39.52万元，主要用于办公费、差旅费、水电费、印刷费、邮电费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58.20万元，占总支出的11.07％。其中：伊犁州交通运输综合行政执法局2021年执法监督工作项目安排58.20万元，主要用于完成发放聘用人员工资，及执法检查办公经费，以加强依法履职，完善执法程序，规范执法行为，加强执法监督，落实执法责任。</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（3）本年度重点项目支出58.20万元，重点支出保障率100%。其中重点保障项目是伊犁州交通运输综合行政执法局2021年执法监督工作项目。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（4）本年度我单位无政府采购预算。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本次单位整体支出绩效自评采用比较法和成本效益分析法。原因是：按照项目立项、预算管理、项目实施的情况实际开展情况，运用成本效益分析法能够将投入和产出更好的关联、促进资金的更合理使用。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涉及对象：本次评价对象是伊犁州交通运输综合行政执法局所有财政资金支出活动。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①基本支出487.58万元，其中：机关事业单位基本养老保险缴费支出、行政单位医疗、公务员医疗补助、其他行政事业单位医疗支出、行政运行、住房公积金。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②项目支出58.20万元：伊犁州交通运输综合行政执法局2021年监督执法项目。</w:t>
      </w:r>
      <w:bookmarkStart w:id="0" w:name="_Hlk43849111"/>
      <w:bookmarkEnd w:id="0"/>
    </w:p>
    <w:p w14:paraId="1FB1F5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0E9CCC6D">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政府信息公开要求，部门预算及绩效目标在伊犁州政府网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部门单位按照财政要求基本支出分月度申报资金使用计划，由财政部门按照进度每月按期拨付，人员支出按照工资计划发放工资；依照伊犁州交通运输综合行政执法局《预算管理》相关规定和伊犁州交通运输综合行政执法局《财务管理》规定流程，资金支出按照我内控体系中设定的流程申报审批进行；项目支出属于政府采购的，按照局伊犁州交通运输综合行政执法局《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2021年基本支出预算安排487.58万元，实际到位474.27万元,实际支出467.49万元，占总支出的88.97％，其中：工资福利支出427.97万元、商品和服务支出39.52万元。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2021年基本支出比上年0万元,增加487.58万元，上升100.00%，支出上升的主要原因：是因单位机构改革，2021年新纳入伊犁州本级预算单位。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2021年一般公共预算“三公”经费数为3.45万元，其中：因公出国（境）费0万元，公务用车购置0万元，公务用车运行费3.45万元，公务接待费0万元。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3.45万元，其中：因公出国（境）费增加0万元，主要原因是我单位本年度与上年度均为安排此项支出；公务用车购置费为0，未安排预算；公务用车运行费增加3.45万元，主要原因：是因单位机构改革，2021年新纳入伊犁州本级预算单位；公务接待费增加0万元，主要原因是我单位本年度与上年度均为安排此项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2021年预算安排专项资金58.2万元，实际到位58.2万元, 到位率100％,其中:中央转移支付项目资金 0万元，自治区资金0万元，本级安排 58.2 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2021年专项资金支出58.2万元，占总支出的11.07%，其中2021年专项项目支出比上年0万元增加58.2万元，上升 100%。支出上升的主要原因是 单位机构改革，2021年新纳入州本级预算单位。其中：伊犁州交通运输综合行政执法局执法监督项目安排58.2万元，主要用于完成发放聘用人员工资，及补充执法办公经费，合理配置执法力量，整合建设交通运输综合行政执法队伍，达到加强依法履职，完善执法程序，规范执法行为，加强执法监督，落实执法责任的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为规范专项资金使用，提高专项资金使用效益，我单位伊犁州交通运输综合行政执法局主要采取三项措施。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（1）制定了《项目资金管理办法》，各项资金使用审批流程均按规定办理。涉及“三重一大”内容，严格按照规定提请局党组会审议决定，包括项目资金分配、大额资金支付等。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（2）制订了伊犁州交通运输综合行政执法局执法监督项目实施方案，确保项目顺利实施。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（3）认真组织伊犁州交通运输综合行政执法局执法监督项目验收，确保执法监督项目的顺利完成。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专项资金涉及政府采购项目的，按照《伊犁州财政局采购与招标管理办法》组织人员制定采购计划，按照财政局采购部门批复，进行公开招标、邀请招标等方式进行。</w:t>
      </w:r>
    </w:p>
    <w:p w14:paraId="37DCA4A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45ED414">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w:t>
      </w:r>
      <w:r>
        <w:rPr>
          <w:rFonts w:hint="eastAsia" w:ascii="仿宋_GB2312" w:hAnsi="宋体" w:eastAsia="仿宋_GB2312"/>
          <w:b/>
          <w:sz w:val="32"/>
          <w:szCs w:val="32"/>
        </w:rPr>
        <w:tab/>
        <w:t>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伊犁州交通运输综合行政执法局执法监督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截止12月31日，该专项均按照时间计划保质、保量完成。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w:t>
      </w:r>
      <w:r>
        <w:rPr>
          <w:rFonts w:hint="eastAsia" w:ascii="仿宋_GB2312" w:hAnsi="宋体" w:eastAsia="仿宋_GB2312"/>
          <w:b/>
          <w:sz w:val="32"/>
          <w:szCs w:val="32"/>
        </w:rPr>
        <w:tab/>
        <w:t>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58.2万元，实际到位58.2万元，资金到位率100%。截止到2021年12月31日执行58.2万元，执行率100%。其中：2021年结转专项资金0万元，实际执行0万元，执行率为0%；2021年新增专项资金58.2万元，实际执行58.2万元，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我单位严格执行《项目资金管理办法》内容要求，加强对专项资金的绩效管理，确保专款专用，提高专项资金使用效益。遵守相关法律法规，严肃财经纪律，自觉接受财政、审计、监察监督检查。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w:t>
      </w:r>
      <w:r>
        <w:rPr>
          <w:rFonts w:hint="eastAsia" w:ascii="仿宋_GB2312" w:hAnsi="宋体" w:eastAsia="仿宋_GB2312"/>
          <w:b/>
          <w:sz w:val="32"/>
          <w:szCs w:val="32"/>
        </w:rPr>
        <w:tab/>
        <w:t>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交通运输综合行政执法局，根据2021年1个项目的绩效目标及工作内容，将其细化分工至本单位1个科室2个相关人员，加强组织领导，明确分工，各司其职，抓好工作目标任务的落实完成，同时年中要求科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伊犁州交通运输综合行政执法局，实施的1个项目，由相关业务科室指派专人进行全过程跟踪管理，科室负责人统筹推进项目实施，单位领导不定期对项目进度进行调度，并对项目质量进行控制。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综合业务科从项目实施方案、项目预算、项目建设进度、项目成本、项目验收等环节，全过程对项目进行监管，并向本单位主要领导报告，以推进项目建设和提高项目质量，以发挥资金使用效益。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w:t>
      </w:r>
      <w:r>
        <w:rPr>
          <w:rFonts w:hint="eastAsia" w:ascii="仿宋_GB2312" w:hAnsi="宋体" w:eastAsia="仿宋_GB2312"/>
          <w:b/>
          <w:sz w:val="32"/>
          <w:szCs w:val="32"/>
        </w:rPr>
        <w:tab/>
        <w:t>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交通运输综合行政执法局，所涉及专项项目均已于专项资金下达后按照资金文件及绩效管理要求设置《项目绩效目标表》。1个专项项目预算总额为58.2万元，在项目实施过程中，业务人员加强项目管理，合理控制项目成本，截止项目结束，1个项目总成本为58.2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伊犁州交通运输综合行政执法局，所涉及专项项目使用资金比专项项目总预算减少0万元，项目节约率为0%。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w:t>
      </w:r>
      <w:r>
        <w:rPr>
          <w:rFonts w:hint="eastAsia" w:ascii="仿宋_GB2312" w:hAnsi="宋体" w:eastAsia="仿宋_GB2312"/>
          <w:b/>
          <w:sz w:val="32"/>
          <w:szCs w:val="32"/>
        </w:rPr>
        <w:tab/>
        <w:t>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2021年伊犁州交通运输综合行政执法局共涉及专项项目1个，截止到2021年底，通过专项项目实施过程中的有效监督，我单位按预期完成了1个专项的各项专项任务，项目总体完成率为</w:t>
      </w:r>
      <w:r>
        <w:rPr>
          <w:rFonts w:hint="eastAsia" w:ascii="仿宋_GB2312" w:hAnsi="宋体" w:eastAsia="仿宋_GB2312"/>
          <w:b/>
          <w:sz w:val="32"/>
          <w:szCs w:val="32"/>
        </w:rPr>
        <w:tab/>
        <w:t>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伊犁州交通运输综合行政执法局执法监督项目完成完成了单位机构改革后，单位职能的转变及划转后人员的稳定性建设，以交通运输治理体系和治理能力现代化为导向，建立适应经济社会发展的交通运输行政执法体制，建设人民满意交通执法。2、合理配置了执法力量，整合建设交通运输综合行政执法队伍，更好推进交通运输高质量发展。3、加强依法履职，完善执法程序，规范执法行为，加强执法监督，落实执法责任，更好推进规范公正文明执法。4、完成路政海事</w:t>
      </w:r>
      <w:r>
        <w:rPr>
          <w:rFonts w:hint="eastAsia" w:ascii="仿宋_GB2312" w:hAnsi="宋体" w:eastAsia="仿宋_GB2312"/>
          <w:b/>
          <w:sz w:val="32"/>
          <w:szCs w:val="32"/>
          <w:lang w:val="en-US" w:eastAsia="zh-CN"/>
        </w:rPr>
        <w:t>行政</w:t>
      </w:r>
      <w:r>
        <w:rPr>
          <w:rFonts w:hint="eastAsia" w:ascii="仿宋_GB2312" w:hAnsi="宋体" w:eastAsia="仿宋_GB2312"/>
          <w:b/>
          <w:sz w:val="32"/>
          <w:szCs w:val="32"/>
        </w:rPr>
        <w:t>执法统筹协调、重大案件查处和跨区域执法的组织工作；管辖的高速公旁、国省干线公路、管辖专用公路的超限治理工作；完成自治州级道路运输行政执法工作，完成交通运输行政执法合法性审查和重大执法决定法制审核，拟订交通运输综合行政执法安全生产规章制度并组织落实。完成管辖区域内国省干线公路（含高速公路）、专用公路的工程质量监督执法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w:t>
      </w:r>
      <w:r>
        <w:rPr>
          <w:rFonts w:hint="eastAsia" w:ascii="仿宋_GB2312" w:hAnsi="宋体" w:eastAsia="仿宋_GB2312"/>
          <w:b/>
          <w:sz w:val="32"/>
          <w:szCs w:val="32"/>
        </w:rPr>
        <w:tab/>
        <w:t>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伊犁州交通运输综合行政执法局执法监督项目，落实了安全监管责任，稳定运输市场健康发展。深入推进交通运输执法领域突出问题专项整治，化解矛盾纠纷，提升运输服务管理水平。完成危险货物运输信息化管理工作。</w:t>
      </w:r>
    </w:p>
    <w:p w14:paraId="12A3AD8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A4F0C23">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1822.08万元，其中流动资产826.29万元（其中货币资金293.12万元、应收账款-0.21万元、其他应收款518.08万元、存货15.30万元），固定资产净值995.80万元（其中：土地、房屋及构筑物848.10万元，占固定资产净值的85.17%；通用设备115.12万元，占固定资产净值的11.56%；专用设备0.23万元，占固定资产净值的0.02%；其他32.36万元，占固定资产净值的3.25%）。</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本年度流动资产826.29万元，比上年减少148.14万元，原因是：货币资金减少、累计折旧增加。</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本年度固定资产995.80万元，比上年1093.86万元，原因是：增加累计折旧。</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实际在用固定资产1093.86万元，固定资产利用率100%。</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346EF8A1">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2021年度我单位年初预算安排546.37万元，年中调整0.59万元，截止12月底支出525.69万元，执行率96.32%。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2021年，在州交通运输局的正确领导和州财政局的支持下，我部单位迎难而上、务实重干，积极推动各项交通执法工作取得了新的进展，为促进经济持续健康发展与社会和谐稳定提供了有力的支撑和保障。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1、圆满完成交通运输综合行政执法工作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总体做好本行政区域交通运输管理事权行政执法的监督指导和组织协调工作，合理配置执法力量，整合建设交通运输综合行政执法队伍，更好推进交通运输高质量发展。（2）保障部门单位人员发放工资福利支出及运转支出。（3）加强依法履职，完善执法程序，依法保障扣押车辆停车费用支出。（4）重点完成管辖区域内交通运输管理事权行政执法的监督指导和组织协调工作。（5）完成路政海事</w:t>
      </w:r>
      <w:r>
        <w:rPr>
          <w:rFonts w:hint="eastAsia" w:ascii="仿宋_GB2312" w:hAnsi="宋体" w:eastAsia="仿宋_GB2312"/>
          <w:b/>
          <w:sz w:val="32"/>
          <w:szCs w:val="32"/>
          <w:lang w:val="en-US" w:eastAsia="zh-CN"/>
        </w:rPr>
        <w:t>行政</w:t>
      </w:r>
      <w:bookmarkStart w:id="1" w:name="_GoBack"/>
      <w:bookmarkEnd w:id="1"/>
      <w:r>
        <w:rPr>
          <w:rFonts w:hint="eastAsia" w:ascii="仿宋_GB2312" w:hAnsi="宋体" w:eastAsia="仿宋_GB2312"/>
          <w:b/>
          <w:sz w:val="32"/>
          <w:szCs w:val="32"/>
        </w:rPr>
        <w:t>执法统筹协调、重大案件查处和跨区域执法的组织工作。（6）完成管辖的高速公旁、国省干线公路、管辖专用公路的超限治理工作和自治州治理超限超载领导小组办公室日常工作。（7）执行完成交通运输行政执法合法性审查和重大执法决定法制审核，拟订交通运输综合行政执法安全生产规章制度并组织落实。（8）完成管辖区域内国省干线公路（含高速公路）、专用公路的工程质量监督执法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2、执法检查任务提前完成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提前完成执法监督任务。扎实开展行政执法评议考核，完善不定期执法监督检查制度；积极推进“双随机一公开"监管模式，加强事中事后监管；巩固联合执法机制，推动跨辖区、跨部门的执法协同；加快执法信息化建设，大力推进非现场执法和信息化移动执法。严格实行执法人员持证上岗和资格管理制度，认真开展交通运输综合行政执法队伍素质能力提升三年行动，广泛开展交通综合执法为主要内容的法治教育培训，积极开展业务能手交流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3、效果成效显著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经过本次项目我单位达到了维护管辖区域内运输市场的合法经营、有序发展和市场稳定，发挥交通运输综合行政执法的监管作用，落实主体责任，提升交通运输综合行政执法人员的法治能力水平，增加财政非税收入，整合建设交通运输综合行政执法队伍，加强依法履职，完成交通运输管理事权行政执法的监督指导和组织协调工作。不断创新执法手段，加大对非法营运打击力度；狠抓源头管理，深入客运站场、各货运集散地和主要作业现场,对扰乱运输市场违法行为进行查处；加大对驾校、修理厂违法行为的查处力度，依法进行整治和规范，严肃查处修理厂承修报废汽车、擅自改装汽车等违法行为。强化路政海事执法，建立严格的公路路政巡查制度，坚持不定期上路巡查，做到违法行为及时发现，及时处理，进一步加强水运和航道管理的监控和整治，对无证营运船舶等进行整治和打击。加大治超工作整治力度，推动建立“市县政府负责、部门协作实施、区域联动治理”的工作机制；要加强与交警等部门的协作配合，建立健全联合执法制度；要加大货物源头巡查力度，严格落实“ 一超四罚”措施，深化道路运输源头治超监管。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伊犁州交通运输综合行政执法局执法监督项目全面达标，群众满意度高。严格落实行政执法公示、执法全过程记录和重大执法决定法制审核制度，按照有权必有责、用权受监督要求，全面落实执法责任制，严格限制自由裁量权，建立健全权责明晰的监管执法责任体系和责任追究机制，严格规范公正文明执法，提升交通运输综合行政执法公信力。</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执法力量进一步夯实，二是依法履职能力进一步提升，三是交通运输执法环境进一步改善，四是执法人员素质进一步提高，五是执法程序规范化进一步推进，六是执法人员法律水平进一步增强，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伊犁州交通运输综合行政执法局部门单位整体绩效目标共设置一级指标3个，二级指标7个，三级指标10个，详细说明如下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指标1：保障人数，指标值：&gt;=40人，实际完成值：44人，指标完成率112.37%；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指标2:保障公用车数量，指标值:&gt;=5辆，实际完成值:5辆，指标完成率100%；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指标1:工资及社保发放准确率，指标值:=100%，实际完成值：100%，指标完成率100%；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指标1:资金发放及时性，指标值:=100%，实际完成值100%，指标完成率100%；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指标1:停车费，指标值：&lt;=10万元，实际完成值:4.08万元，指标完成率40.8%；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指标2：人均运转经费数，指标值：&lt;=1.15万元，实际完成值:0.81万元，指标完成率70.43%；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指标3：人均支出标准，指标值：&lt;=11.05万元，实际完成值:9.57万元，指标完成率86.61%；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指标1:稳定客货运输市场健康发展，指标值:持续稳定，实际完成值：持续稳定，指标完成率100.00%；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指标1:企业安全生产问题整改落实率，指标值:&gt;=90%，实际完成值：100%，指标完成率111.11%；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指标1：干部职工满意度，指标值：&gt;=98%，实际完成值：100%，指标完成率102.04%；</w:t>
      </w:r>
    </w:p>
    <w:p w14:paraId="4D3E30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5912FC22">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项目相关人员绩效管理的意识不强，对绩效管理工作认识不够，指标的设置不够科学、不够规范。绩效项目的标准工作需要进一步加强制度保障。</w:t>
      </w:r>
    </w:p>
    <w:p w14:paraId="65E5B227">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490E58C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加强项目人员对资金预算绩效管理的水平，进一步加强预算编制精细化，提高评价指标体系的科学性、统一性、完整性，绩效评价理念和执行能力有待进一步提高。</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（1）加强预算编制的合理性。增强预算业务指导，详细做好预算，对每一项支出做出详尽的预判，结合本单位实际情况，制定出年度计划。</w:t>
      </w:r>
      <w:r>
        <w:rPr>
          <w:rFonts w:hint="eastAsia" w:ascii="仿宋_GB2312" w:hAnsi="宋体" w:eastAsia="仿宋_GB2312"/>
          <w:b/>
          <w:sz w:val="32"/>
          <w:szCs w:val="32"/>
        </w:rPr>
        <w:br w:type="textWrapping"/>
      </w:r>
      <w:r>
        <w:rPr>
          <w:rFonts w:hint="eastAsia" w:ascii="仿宋_GB2312" w:hAnsi="宋体" w:eastAsia="仿宋_GB2312"/>
          <w:b/>
          <w:sz w:val="32"/>
          <w:szCs w:val="32"/>
        </w:rPr>
        <w:t>（2）严格控制预算执行。建立预算执行全过程动态监控机制，完善预算执行管理办法，建立健全预算绩效管理体系，增强预算执行的严肃性，提高预算执行的准确率。</w:t>
      </w:r>
      <w:r>
        <w:rPr>
          <w:rFonts w:hint="eastAsia" w:ascii="仿宋_GB2312" w:hAnsi="宋体" w:eastAsia="仿宋_GB2312"/>
          <w:b/>
          <w:sz w:val="32"/>
          <w:szCs w:val="32"/>
        </w:rPr>
        <w:br w:type="textWrapping"/>
      </w:r>
      <w:r>
        <w:rPr>
          <w:rFonts w:hint="eastAsia" w:ascii="仿宋_GB2312" w:hAnsi="宋体" w:eastAsia="仿宋_GB2312"/>
          <w:b/>
          <w:sz w:val="32"/>
          <w:szCs w:val="32"/>
        </w:rPr>
        <w:t>（3）积极开展预算绩效管理。加强财政预算资金事前、事中、事后控制，避免财政资金浪费，在资金使用结束后进行严格自查，根据事前设定的绩效目标科学评判效率效果，并将评价结果合理运用到第二年的预算编制工作中。</w:t>
      </w:r>
    </w:p>
    <w:p w14:paraId="37F0658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50E91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65F86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8764</Words>
  <Characters>9305</Characters>
  <Lines>2</Lines>
  <Paragraphs>1</Paragraphs>
  <TotalTime>12</TotalTime>
  <ScaleCrop>false</ScaleCrop>
  <LinksUpToDate>false</LinksUpToDate>
  <CharactersWithSpaces>9343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2025-02-28T09:49:22Z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eyJoZGlkIjoiZTJlNDBmZDg4NzQzM2UxZWE4MWMzYTNmYjU4NjJhMzkiLCJ1c2VySWQiOiIzODc1NDM2MTYifQ==</vt:lpwstr>
  </property>
  <property fmtid="{D5CDD505-2E9C-101B-9397-08002B2CF9AE}" pid="3" name="KSOProductBuildVer">
    <vt:lpwstr>2052-12.1.0.19770</vt:lpwstr>
  </property>
  <property fmtid="{D5CDD505-2E9C-101B-9397-08002B2CF9AE}" pid="4" name="ICV">
    <vt:lpwstr>B7F468044EB843B69A3A67EE6CE58C0B_12</vt:lpwstr>
  </property>
</Properties>
</file>