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 w:ascii="宋体" w:hAnsi="宋体"/>
          <w:color w:val="auto"/>
          <w:sz w:val="16"/>
          <w:szCs w:val="16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 w:firstLine="640" w:firstLineChars="200"/>
        <w:jc w:val="right"/>
        <w:textAlignment w:val="auto"/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  <w:t>伊州环函</w:t>
      </w:r>
      <w:r>
        <w:rPr>
          <w:rFonts w:hint="eastAsia" w:ascii="宋体" w:hAnsi="宋体" w:eastAsia="方正仿宋简体" w:cs="黑体"/>
          <w:color w:val="auto"/>
          <w:kern w:val="0"/>
          <w:sz w:val="32"/>
          <w:szCs w:val="32"/>
          <w:lang w:val="en-US" w:eastAsia="zh-CN" w:bidi="ar-SA"/>
        </w:rPr>
        <w:t>〔</w:t>
      </w: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宋体" w:hAnsi="宋体" w:eastAsia="方正仿宋简体" w:cs="黑体"/>
          <w:color w:val="auto"/>
          <w:kern w:val="0"/>
          <w:sz w:val="32"/>
          <w:szCs w:val="32"/>
          <w:lang w:val="en-US" w:eastAsia="zh-CN" w:bidi="ar-SA"/>
        </w:rPr>
        <w:t>〕76</w:t>
      </w: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关于新源县玉什开普台尔村2号砂石料矿建设项目环境影响报告表的批复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新源县鑫通能源科技有限责任公司：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你公司报批的《关于新源县玉什开普台尔村2号砂石料矿申请审批的请示》及相关附件均已收悉。经研究，批复如下：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一、拟建项目位于新源县阿热勒托别镇玉什开普台尔村，本项目总占地面积</w:t>
      </w:r>
      <w:r>
        <w:rPr>
          <w:rFonts w:hint="eastAsia" w:ascii="宋体" w:hAnsi="宋体" w:eastAsia="方正仿宋简体" w:cs="方正仿宋简体"/>
          <w:color w:val="auto"/>
          <w:kern w:val="0"/>
          <w:sz w:val="32"/>
          <w:szCs w:val="32"/>
          <w:lang w:val="en-US" w:eastAsia="zh-CN"/>
        </w:rPr>
        <w:t>164800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m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，项目区中心坐标为：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东经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°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39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′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12.935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北纬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°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27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′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39.183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。建设内容:建设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开采区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主体工程；供电系统、供水系统、排水系统等公用工程；废气处理、废水处理、噪声控制、固废防治、水土保持及生态恢复等环保工程。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项目开采矿种为建筑用砂石料，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采用方式为机械露天开采，自上而下分层、分台阶式采剥。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/>
        </w:rPr>
        <w:t>项目总投资1205万元，环保投资23万元，占总投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-6"/>
          <w:kern w:val="0"/>
          <w:sz w:val="32"/>
          <w:szCs w:val="32"/>
          <w:lang w:val="en-US" w:eastAsia="zh-CN" w:bidi="ar"/>
        </w:rPr>
        <w:t>资的1.91%。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根据湖南玛格利环境评估有限公司编制的《新源县玉什开普台尔村2号砂石料矿建设项目环境影响报告表》（以下简称《报告表》），在全面落实《报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三、在项目运行过程中要严格落实《报告表》中提出的各项环保措施和建议，严格执行环保“三同时”制度，确保污染物稳定达标排放，并达到以下要求：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GB" w:eastAsia="zh-CN" w:bidi="ar"/>
        </w:rPr>
        <w:t>（一）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严格落实各项大气污染防治措施。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采矿场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采取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洒水降尘措施，装载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扬尘采取运输车辆密封遮盖、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洒水降尘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措施，废气执行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《大气污染物综合排放标准》（GB16297-1996）中表2新污染源大气污染物排放限值中颗粒物无组织排放浓度限值（颗粒物≤1.0mg/m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简体" w:cs="方正仿宋简体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GB" w:eastAsia="zh-CN" w:bidi="ar"/>
        </w:rPr>
        <w:t>（二）</w:t>
      </w:r>
      <w:bookmarkStart w:id="0" w:name="_Hlk144139558"/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严格落实各项废水治理措施。</w:t>
      </w:r>
      <w:bookmarkEnd w:id="0"/>
      <w:r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本项目</w:t>
      </w:r>
      <w:r>
        <w:rPr>
          <w:rFonts w:hint="eastAsia" w:ascii="宋体" w:hAnsi="宋体" w:eastAsia="方正仿宋简体" w:cs="方正仿宋简体"/>
          <w:spacing w:val="-6"/>
          <w:kern w:val="2"/>
          <w:sz w:val="32"/>
          <w:szCs w:val="32"/>
          <w:lang w:val="en-US" w:eastAsia="zh-CN" w:bidi="ar-SA"/>
        </w:rPr>
        <w:t>无生产废水，</w:t>
      </w:r>
      <w:r>
        <w:rPr>
          <w:rFonts w:hint="eastAsia" w:ascii="宋体" w:hAnsi="宋体" w:eastAsia="方正仿宋简体" w:cs="方正仿宋简体"/>
          <w:spacing w:val="-6"/>
          <w:kern w:val="2"/>
          <w:sz w:val="32"/>
          <w:szCs w:val="32"/>
          <w:lang w:val="zh-CN" w:eastAsia="zh-CN" w:bidi="ar-SA"/>
        </w:rPr>
        <w:t>生活污水依托新源县玉什开普台尔村1号砂石料矿污水处理设施</w:t>
      </w:r>
      <w:r>
        <w:rPr>
          <w:rFonts w:hint="eastAsia" w:ascii="宋体" w:hAnsi="宋体" w:eastAsia="方正仿宋简体" w:cs="方正仿宋简体"/>
          <w:color w:val="auto"/>
          <w:spacing w:val="-6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（三）严格落实各项噪声治理措施。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本项目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采用低噪声机械设备，合理布局设备安装位置，距离衰减降噪，车辆行驶严格控制车速，严禁鸣笛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等措施后，噪声可满足《工业企业厂界环境噪声排放标准》（GB12348-2008）中的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类标准。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（四）加强固体废物收集、贮存、综合利用和处置工作。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生活垃圾依托新源县玉什开普台尔村1号砂石料矿办公生活区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zh-CN" w:eastAsia="zh-CN"/>
        </w:rPr>
        <w:t>生态保护措施。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开采前对开采区进行表土剥离，剥离表土堆放在新源县玉什开普台尔村1号砂石料矿表土堆场内；在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矿区四周设置截排水沟，采场汇水经排水沟自流排至采场外，灌溉草场，不设沉砂池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；开采结束后，开采区进行土地平整、表土回覆、撒播草籽及种植乔木。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你公司应落实生态环境保护主体责任，建立内部生态环境管理体系，明确机构、人员职责和制度，加强生态环境管理，推动各项生态环境保护措施落实。项目建设必须严格执行配套的环境保护设施与主体工程同时设计、同时施工、同时投产使用的环境保护“三同时”制度。项目建成后，须按规定开展竣工环境保护验收，验收合格后，方可正式投入运行。如项目发生重大变动，环评文件须报有审批权的生态环境部门重新审批。自环评文件批准之日起满5年，工程方决定开工建设，环评文件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五、新源县分局要切实承担事中事后监管主要责任，履行属地监管职责，加强对该项目环境保护“三同时”及自主验收监管。州生态环境保护综合行政执法支队要加强对“三同时”及自主验收工作的监督指导。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六、你公司应在收到本批复后20个工作日内，将批准后的《报告表》送伊犁哈萨克自治州生态环境局新源县分局，并按规定接受各级生态环境行政主管部门的监督检查。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（此件社会公开）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2024年4</w:t>
      </w:r>
      <w:bookmarkStart w:id="1" w:name="_GoBack"/>
      <w:bookmarkEnd w:id="1"/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月25日  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0" w:hanging="1280" w:hangingChars="4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抄送：州生态环境保护综合行政执法支队</w:t>
      </w:r>
      <w:r>
        <w:rPr>
          <w:rFonts w:hint="eastAsia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,</w:t>
      </w:r>
      <w:r>
        <w:rPr>
          <w:rFonts w:hint="eastAsia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新源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县分局，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湖南玛格利环境评估有限公司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，本局存档。</w:t>
      </w:r>
    </w:p>
    <w:p>
      <w:pPr>
        <w:pStyle w:val="9"/>
        <w:keepNext w:val="0"/>
        <w:keepLines w:val="0"/>
        <w:pageBreakBefore w:val="0"/>
        <w:widowControl w:val="0"/>
        <w:pBdr>
          <w:bottom w:val="single" w:color="auto" w:sz="12" w:space="1"/>
          <w:between w:val="single" w:color="auto" w:sz="12" w:space="0"/>
        </w:pBd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伊犁哈萨克自治州生态环境局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印发</w:t>
      </w:r>
    </w:p>
    <w:sectPr>
      <w:footerReference r:id="rId3" w:type="default"/>
      <w:pgSz w:w="11906" w:h="16838"/>
      <w:pgMar w:top="2098" w:right="1531" w:bottom="1531" w:left="1531" w:header="1134" w:footer="158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4EB2"/>
    <w:multiLevelType w:val="singleLevel"/>
    <w:tmpl w:val="6BCC4EB2"/>
    <w:lvl w:ilvl="0" w:tentative="0">
      <w:start w:val="1"/>
      <w:numFmt w:val="bullet"/>
      <w:pStyle w:val="10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2Y4MjJkNDdjNTUyNzU4MDFkMmY4NGRhNmNjMzUifQ=="/>
  </w:docVars>
  <w:rsids>
    <w:rsidRoot w:val="00172A27"/>
    <w:rsid w:val="00311582"/>
    <w:rsid w:val="01F32784"/>
    <w:rsid w:val="024E05F5"/>
    <w:rsid w:val="02D23B66"/>
    <w:rsid w:val="04BA1E76"/>
    <w:rsid w:val="05811ACA"/>
    <w:rsid w:val="058C294E"/>
    <w:rsid w:val="074227B3"/>
    <w:rsid w:val="084F1FBE"/>
    <w:rsid w:val="087121F5"/>
    <w:rsid w:val="09851318"/>
    <w:rsid w:val="0A5E60CD"/>
    <w:rsid w:val="0B6E5C2C"/>
    <w:rsid w:val="0BCF5993"/>
    <w:rsid w:val="0C5E6268"/>
    <w:rsid w:val="0CBE3081"/>
    <w:rsid w:val="0D5E48F5"/>
    <w:rsid w:val="0D7A52E7"/>
    <w:rsid w:val="0E2607E2"/>
    <w:rsid w:val="1016053D"/>
    <w:rsid w:val="111D09F4"/>
    <w:rsid w:val="12487EEE"/>
    <w:rsid w:val="12F20916"/>
    <w:rsid w:val="15682600"/>
    <w:rsid w:val="163B254D"/>
    <w:rsid w:val="16BE482A"/>
    <w:rsid w:val="16F3287A"/>
    <w:rsid w:val="188552CF"/>
    <w:rsid w:val="197C50A5"/>
    <w:rsid w:val="1B01606D"/>
    <w:rsid w:val="1C732202"/>
    <w:rsid w:val="1C901676"/>
    <w:rsid w:val="1E761E91"/>
    <w:rsid w:val="1E994F94"/>
    <w:rsid w:val="1F2B2F33"/>
    <w:rsid w:val="1FC47C5E"/>
    <w:rsid w:val="20FA20E7"/>
    <w:rsid w:val="2113259C"/>
    <w:rsid w:val="22DD6625"/>
    <w:rsid w:val="23103AE4"/>
    <w:rsid w:val="23FB0191"/>
    <w:rsid w:val="24932CA6"/>
    <w:rsid w:val="24B9722B"/>
    <w:rsid w:val="25DE0FDF"/>
    <w:rsid w:val="27E20CB4"/>
    <w:rsid w:val="28313CCE"/>
    <w:rsid w:val="2AD20558"/>
    <w:rsid w:val="2BA2365C"/>
    <w:rsid w:val="2EC40DA4"/>
    <w:rsid w:val="33C6373E"/>
    <w:rsid w:val="34C73228"/>
    <w:rsid w:val="35850071"/>
    <w:rsid w:val="372C5B59"/>
    <w:rsid w:val="375767DE"/>
    <w:rsid w:val="38753F86"/>
    <w:rsid w:val="39225276"/>
    <w:rsid w:val="39DE473A"/>
    <w:rsid w:val="3B0F4A6E"/>
    <w:rsid w:val="3E2B583D"/>
    <w:rsid w:val="3F4023D6"/>
    <w:rsid w:val="3FC577D7"/>
    <w:rsid w:val="400E0434"/>
    <w:rsid w:val="40A76F53"/>
    <w:rsid w:val="40E7216D"/>
    <w:rsid w:val="412E0169"/>
    <w:rsid w:val="41D917F6"/>
    <w:rsid w:val="41FF7922"/>
    <w:rsid w:val="439A1B78"/>
    <w:rsid w:val="44454D0D"/>
    <w:rsid w:val="45BA55EE"/>
    <w:rsid w:val="45E82672"/>
    <w:rsid w:val="468F7DFB"/>
    <w:rsid w:val="46AE524C"/>
    <w:rsid w:val="474D2762"/>
    <w:rsid w:val="47566F4F"/>
    <w:rsid w:val="476A1996"/>
    <w:rsid w:val="47902396"/>
    <w:rsid w:val="4B976F98"/>
    <w:rsid w:val="4C5B1824"/>
    <w:rsid w:val="4DE7127A"/>
    <w:rsid w:val="4F502144"/>
    <w:rsid w:val="4F8F0CA7"/>
    <w:rsid w:val="4F9216DF"/>
    <w:rsid w:val="53152F1F"/>
    <w:rsid w:val="548F615C"/>
    <w:rsid w:val="5571245F"/>
    <w:rsid w:val="55CB5F7D"/>
    <w:rsid w:val="58DD03BD"/>
    <w:rsid w:val="59DB78BF"/>
    <w:rsid w:val="5B6F6F9D"/>
    <w:rsid w:val="5B807F43"/>
    <w:rsid w:val="5CF670BD"/>
    <w:rsid w:val="5EC40CE5"/>
    <w:rsid w:val="5F023593"/>
    <w:rsid w:val="60507E95"/>
    <w:rsid w:val="6717562A"/>
    <w:rsid w:val="673E3050"/>
    <w:rsid w:val="67584F69"/>
    <w:rsid w:val="68090D38"/>
    <w:rsid w:val="6AE57A7B"/>
    <w:rsid w:val="6B1F7DE3"/>
    <w:rsid w:val="6B4050EE"/>
    <w:rsid w:val="6C691E50"/>
    <w:rsid w:val="6D8F101A"/>
    <w:rsid w:val="6DAD262D"/>
    <w:rsid w:val="6E955BB2"/>
    <w:rsid w:val="732066EF"/>
    <w:rsid w:val="74112BAB"/>
    <w:rsid w:val="758D011E"/>
    <w:rsid w:val="77531FFB"/>
    <w:rsid w:val="77765208"/>
    <w:rsid w:val="77BD5F03"/>
    <w:rsid w:val="7871000B"/>
    <w:rsid w:val="78A62B33"/>
    <w:rsid w:val="78FF13DE"/>
    <w:rsid w:val="7A823ABA"/>
    <w:rsid w:val="7B6950CA"/>
    <w:rsid w:val="7CBB4AB6"/>
    <w:rsid w:val="7D5806C9"/>
    <w:rsid w:val="7EC45EE7"/>
    <w:rsid w:val="7F9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tabs>
        <w:tab w:val="left" w:pos="2760"/>
      </w:tabs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abs>
        <w:tab w:val="left" w:pos="2760"/>
      </w:tabs>
      <w:adjustRightInd w:val="0"/>
    </w:pPr>
    <w:rPr>
      <w:rFonts w:ascii="宋体" w:hAnsi="Courier New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Lines="0" w:afterAutospacing="0" w:line="240" w:lineRule="auto"/>
      <w:ind w:firstLine="0" w:firstLineChars="0"/>
      <w:jc w:val="center"/>
    </w:pPr>
    <w:rPr>
      <w:rFonts w:ascii="Times New Roman" w:hAnsi="Times New Roman" w:eastAsia="宋体" w:cs="Times New Roman"/>
      <w:sz w:val="21"/>
      <w:szCs w:val="21"/>
    </w:rPr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Plain Text"/>
    <w:basedOn w:val="1"/>
    <w:qFormat/>
    <w:uiPriority w:val="0"/>
    <w:rPr>
      <w:rFonts w:ascii="宋体" w:cs="Courier New"/>
      <w:szCs w:val="21"/>
    </w:rPr>
  </w:style>
  <w:style w:type="paragraph" w:styleId="10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List"/>
    <w:basedOn w:val="1"/>
    <w:qFormat/>
    <w:uiPriority w:val="0"/>
    <w:pPr>
      <w:ind w:left="420" w:hanging="420"/>
    </w:pPr>
  </w:style>
  <w:style w:type="paragraph" w:styleId="14">
    <w:name w:val="Body Text 2"/>
    <w:basedOn w:val="1"/>
    <w:qFormat/>
    <w:uiPriority w:val="0"/>
    <w:pPr>
      <w:spacing w:after="120" w:afterLines="0" w:line="480" w:lineRule="auto"/>
    </w:pPr>
    <w:rPr>
      <w:rFonts w:eastAsia="仿宋_GB2312"/>
    </w:rPr>
  </w:style>
  <w:style w:type="paragraph" w:styleId="15">
    <w:name w:val="Body Text First Indent 2"/>
    <w:basedOn w:val="1"/>
    <w:next w:val="7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样式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20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22">
    <w:name w:val="List Paragraph"/>
    <w:basedOn w:val="1"/>
    <w:qFormat/>
    <w:uiPriority w:val="99"/>
  </w:style>
  <w:style w:type="paragraph" w:customStyle="1" w:styleId="23">
    <w:name w:val="1正文段落"/>
    <w:basedOn w:val="1"/>
    <w:qFormat/>
    <w:uiPriority w:val="99"/>
    <w:pPr>
      <w:spacing w:line="360" w:lineRule="auto"/>
      <w:ind w:firstLine="200" w:firstLineChars="200"/>
    </w:pPr>
    <w:rPr>
      <w:snapToGrid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2133</Words>
  <Characters>2302</Characters>
  <Lines>0</Lines>
  <Paragraphs>0</Paragraphs>
  <TotalTime>9</TotalTime>
  <ScaleCrop>false</ScaleCrop>
  <LinksUpToDate>false</LinksUpToDate>
  <CharactersWithSpaces>2350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2021-04-12T02:19:00Z</dcterms:created>
  <dc:creator>xinjian</dc:creator>
  <cp:lastModifiedBy>Administrator</cp:lastModifiedBy>
  <cp:lastPrinted>2024-04-25T03:38:00Z</cp:lastPrinted>
  <dcterms:modified xsi:type="dcterms:W3CDTF">2024-04-26T02:25:23Z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3EC86990D1D943A7859B2C6541DD07A6</vt:lpwstr>
  </property>
</Properties>
</file>