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</w:pPr>
    </w:p>
    <w:p>
      <w:pPr>
        <w:pStyle w:val="3"/>
        <w:spacing w:line="560" w:lineRule="exact"/>
        <w:jc w:val="both"/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伊州环函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伊犁莎木于孜110千伏变电站二期扩建工程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国网伊犁伊河供电有限责任公司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你公司报批的《伊犁莎木于孜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千伏变电站二期扩建工程环境影响报告表审批的请示》及相关附件均已收悉。经研究，批复如下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一、该项目位于新疆维吾尔自治区伊犁哈萨克自治州伊宁县莎木于孜镇,站址中心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N43°46′04.400″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E81°54′4.500″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项目主要建设内容为：在莎木于孜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千伏变电站新增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台容量为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50MVA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主变压，新增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(4+6)MVar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电容器组和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1台油浸式10kV站用变压器。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本工程总投资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1191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GB"/>
        </w:rPr>
        <w:t>其中环保投资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22.6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GB"/>
        </w:rPr>
        <w:t>万元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GB"/>
        </w:rPr>
        <w:t>，占总投资的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1.9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GB"/>
        </w:rPr>
        <w:t>%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GB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根据新疆鼎耀工程咨询有限公司编制的《伊犁莎木于孜</w:t>
      </w:r>
      <w:r>
        <w:rPr>
          <w:rFonts w:hint="default" w:ascii="Times New Roman" w:hAnsi="Times New Roman" w:eastAsia="仿宋_GB2312" w:cs="Times New Roman"/>
          <w:bCs/>
          <w:color w:val="333333"/>
          <w:sz w:val="32"/>
          <w:szCs w:val="32"/>
          <w:shd w:val="clear" w:color="auto" w:fill="FFFFFF"/>
          <w:lang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伏变电站二期扩建工程环境影响报告表》（以下简称《报告表》）、伊宁县分局关于该项目的预审意见，在全面落实《报告表》提出的各项环境保护措施后，项目建设对环境产生的不利影响可以缓解和控制。从环境保护的角度，我局原则同意按照《报告表》中所列建设项目的性质、规模、地点和拟采取的环境保护措施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三、在项目建设和运行过程中要严格落实《报告表》中提出的各项环保措施和建议，严格执行环保“三同时”制度，确保污染物稳定达标排放，并达到以下要求：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加强施工期的环境管理，文明施工。规范施工行为，尽量减轻施工扬尘和噪声影响。施工期废水严禁随意排放，工程弃料、弃土等要妥善处置，及时清运，施工结束后要及时做好土地平整、恢复和绿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运营期加强对站内设备维护保养，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变电站厂界噪声执行《工业企业厂界环境噪声排放标准》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eastAsia="zh-CN"/>
        </w:rPr>
        <w:t>(GB12348-2008)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（三）废铅蓄电池和事故废油要严格按照危险废物的有关要求进行管理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，交有相关资质的单位进行处理。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（四）认真落实《报告表》中提出的控制和改善工频电场、工频磁场对周边环境影响的措施和方法，变电站运行时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电磁环境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应符合《电磁环境控制限值》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"/>
        </w:rPr>
        <w:t>（GB8702-2014）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要求。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做好警示标志的悬挂设立工作，禁止无关人员靠近带电架构。做好员工电磁基础知识培训和电磁辐射监测工作。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四、环境影响报告表经批准后，如工程性质、规模、地点或生态保护、污染防治措施发生重大变动，须报我局重新审批。项目竣工后，应按规定程序开展竣工环境保护验收。施工期和运营期的生态环境监督管理由伊宁县分局负责，州生态环境保护综合行政执法支队不定期进行抽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五、你公司应在收到本批复后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个工作日内，将批准后的《报告表》送伊宁县分局，并按规定接受各级生态环境行政主管部门的监督检查。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 xml:space="preserve">   （此件社会公开）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19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16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pStyle w:val="5"/>
        <w:pBdr>
          <w:top w:val="single" w:color="auto" w:sz="12" w:space="1"/>
          <w:bottom w:val="single" w:color="auto" w:sz="12" w:space="1"/>
        </w:pBdr>
        <w:tabs>
          <w:tab w:val="left" w:pos="6840"/>
        </w:tabs>
        <w:spacing w:line="480" w:lineRule="exact"/>
        <w:ind w:left="840" w:hanging="840" w:hanging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抄送：州生态环境保护综合行政执法支队，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伊宁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县分局，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新疆鼎耀工程咨询有限公司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，本局存档。</w:t>
      </w:r>
    </w:p>
    <w:p>
      <w:pPr>
        <w:pStyle w:val="5"/>
        <w:pBdr>
          <w:bottom w:val="single" w:color="auto" w:sz="12" w:space="1"/>
          <w:between w:val="single" w:color="auto" w:sz="12" w:space="0"/>
        </w:pBdr>
        <w:tabs>
          <w:tab w:val="left" w:pos="6840"/>
        </w:tabs>
        <w:spacing w:line="480" w:lineRule="exact"/>
        <w:ind w:firstLine="140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伊犁哈萨克自治州生态环境局          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 印发</w:t>
      </w:r>
    </w:p>
    <w:sectPr>
      <w:footerReference r:id="rId3" w:type="default"/>
      <w:pgSz w:w="11906" w:h="16838"/>
      <w:pgMar w:top="1440" w:right="1800" w:bottom="1440" w:left="1800" w:header="1134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hjN2Y4MjJkNDdjNTUyNzU4MDFkMmY4NGRhNmNjMzUifQ=="/>
  </w:docVars>
  <w:rsids>
    <w:rsidRoot w:val="00172A27"/>
    <w:rsid w:val="000716F6"/>
    <w:rsid w:val="006955C5"/>
    <w:rsid w:val="008423B7"/>
    <w:rsid w:val="00C32D1D"/>
    <w:rsid w:val="0178299B"/>
    <w:rsid w:val="04B55E47"/>
    <w:rsid w:val="051B5955"/>
    <w:rsid w:val="052076F5"/>
    <w:rsid w:val="05FA6D67"/>
    <w:rsid w:val="06013F85"/>
    <w:rsid w:val="06EA7AE9"/>
    <w:rsid w:val="078660CC"/>
    <w:rsid w:val="07EB560A"/>
    <w:rsid w:val="081E4FBF"/>
    <w:rsid w:val="092B5F96"/>
    <w:rsid w:val="0BC4547A"/>
    <w:rsid w:val="0E4300CF"/>
    <w:rsid w:val="0FC1695C"/>
    <w:rsid w:val="12657017"/>
    <w:rsid w:val="131323D0"/>
    <w:rsid w:val="14C834FD"/>
    <w:rsid w:val="15AB651B"/>
    <w:rsid w:val="169E2609"/>
    <w:rsid w:val="17302022"/>
    <w:rsid w:val="180C6085"/>
    <w:rsid w:val="18F71505"/>
    <w:rsid w:val="191C723B"/>
    <w:rsid w:val="193E101D"/>
    <w:rsid w:val="19672B74"/>
    <w:rsid w:val="199602BD"/>
    <w:rsid w:val="1A0A1553"/>
    <w:rsid w:val="1AE81CB5"/>
    <w:rsid w:val="1C3E2606"/>
    <w:rsid w:val="1CD96BE2"/>
    <w:rsid w:val="1DB352D0"/>
    <w:rsid w:val="211D10ED"/>
    <w:rsid w:val="21D94A96"/>
    <w:rsid w:val="23A83C63"/>
    <w:rsid w:val="23D53425"/>
    <w:rsid w:val="24760BE2"/>
    <w:rsid w:val="24FE0232"/>
    <w:rsid w:val="28E30B00"/>
    <w:rsid w:val="293106D4"/>
    <w:rsid w:val="293B68B2"/>
    <w:rsid w:val="29867BA4"/>
    <w:rsid w:val="2A6B59EA"/>
    <w:rsid w:val="2C9D01BD"/>
    <w:rsid w:val="2CF202E1"/>
    <w:rsid w:val="2EE42A9E"/>
    <w:rsid w:val="2F044FCC"/>
    <w:rsid w:val="2FE721A2"/>
    <w:rsid w:val="30E8466A"/>
    <w:rsid w:val="310C4204"/>
    <w:rsid w:val="311E37B6"/>
    <w:rsid w:val="316D5888"/>
    <w:rsid w:val="32555174"/>
    <w:rsid w:val="339C35B9"/>
    <w:rsid w:val="343B6034"/>
    <w:rsid w:val="34935593"/>
    <w:rsid w:val="360249F0"/>
    <w:rsid w:val="38D54ACA"/>
    <w:rsid w:val="39446403"/>
    <w:rsid w:val="39A828A4"/>
    <w:rsid w:val="39B114B9"/>
    <w:rsid w:val="39F53B03"/>
    <w:rsid w:val="3A1C2863"/>
    <w:rsid w:val="3A3C7D0A"/>
    <w:rsid w:val="3AB964F5"/>
    <w:rsid w:val="3B36706A"/>
    <w:rsid w:val="3B553864"/>
    <w:rsid w:val="3BFE7615"/>
    <w:rsid w:val="435C50A7"/>
    <w:rsid w:val="440C6536"/>
    <w:rsid w:val="448C627C"/>
    <w:rsid w:val="448E07FB"/>
    <w:rsid w:val="478D4D9A"/>
    <w:rsid w:val="481F54E2"/>
    <w:rsid w:val="49FE24F4"/>
    <w:rsid w:val="4B0C1B65"/>
    <w:rsid w:val="4B53102F"/>
    <w:rsid w:val="4CD00F4C"/>
    <w:rsid w:val="4CDC2F1E"/>
    <w:rsid w:val="4D160508"/>
    <w:rsid w:val="4E41729E"/>
    <w:rsid w:val="4E8B5AEB"/>
    <w:rsid w:val="4ECA0E53"/>
    <w:rsid w:val="4F545534"/>
    <w:rsid w:val="50E36F44"/>
    <w:rsid w:val="51440628"/>
    <w:rsid w:val="520E36D7"/>
    <w:rsid w:val="52533808"/>
    <w:rsid w:val="53450CAD"/>
    <w:rsid w:val="55B03199"/>
    <w:rsid w:val="573D632F"/>
    <w:rsid w:val="592D2DB3"/>
    <w:rsid w:val="5AD2597D"/>
    <w:rsid w:val="5F14629A"/>
    <w:rsid w:val="5FE035A9"/>
    <w:rsid w:val="60FA66B2"/>
    <w:rsid w:val="63243993"/>
    <w:rsid w:val="65F364D3"/>
    <w:rsid w:val="66A27A5C"/>
    <w:rsid w:val="66BE62F6"/>
    <w:rsid w:val="671F7710"/>
    <w:rsid w:val="690C0CC9"/>
    <w:rsid w:val="693D6EB4"/>
    <w:rsid w:val="6AE31A3A"/>
    <w:rsid w:val="6B115689"/>
    <w:rsid w:val="6BFE6405"/>
    <w:rsid w:val="6C79285C"/>
    <w:rsid w:val="6C875DE6"/>
    <w:rsid w:val="6DE97E3C"/>
    <w:rsid w:val="70DF127B"/>
    <w:rsid w:val="70F4096E"/>
    <w:rsid w:val="714777CD"/>
    <w:rsid w:val="71E23FA8"/>
    <w:rsid w:val="71E5266B"/>
    <w:rsid w:val="71FD41F1"/>
    <w:rsid w:val="728C7FD0"/>
    <w:rsid w:val="73365490"/>
    <w:rsid w:val="74FA7FD7"/>
    <w:rsid w:val="774C0A76"/>
    <w:rsid w:val="7AD616AA"/>
    <w:rsid w:val="7B263697"/>
    <w:rsid w:val="7E7A7267"/>
    <w:rsid w:val="7F90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szCs w:val="20"/>
    </w:rPr>
  </w:style>
  <w:style w:type="paragraph" w:styleId="8">
    <w:name w:val="index 1"/>
    <w:basedOn w:val="1"/>
    <w:next w:val="1"/>
    <w:unhideWhenUsed/>
    <w:qFormat/>
    <w:uiPriority w:val="0"/>
    <w:pPr>
      <w:adjustRightInd w:val="0"/>
      <w:snapToGrid w:val="0"/>
      <w:spacing w:line="440" w:lineRule="atLeast"/>
      <w:ind w:left="240" w:hanging="240"/>
      <w:jc w:val="left"/>
    </w:pPr>
    <w:rPr>
      <w:rFonts w:ascii="宋体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paragraph" w:customStyle="1" w:styleId="16">
    <w:name w:val="Default"/>
    <w:basedOn w:val="17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8">
    <w:name w:val="样式1"/>
    <w:basedOn w:val="7"/>
    <w:next w:val="1"/>
    <w:qFormat/>
    <w:uiPriority w:val="0"/>
    <w:rPr>
      <w:rFonts w:ascii="Times New Roman"/>
      <w:b/>
      <w:sz w:val="30"/>
      <w:szCs w:val="30"/>
    </w:rPr>
  </w:style>
  <w:style w:type="paragraph" w:customStyle="1" w:styleId="1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0">
    <w:name w:val="报告表正文"/>
    <w:basedOn w:val="21"/>
    <w:qFormat/>
    <w:uiPriority w:val="0"/>
    <w:pPr>
      <w:adjustRightInd w:val="0"/>
      <w:ind w:firstLine="482"/>
      <w:textAlignment w:val="baseline"/>
    </w:pPr>
  </w:style>
  <w:style w:type="paragraph" w:customStyle="1" w:styleId="21">
    <w:name w:val="报告正文"/>
    <w:basedOn w:val="22"/>
    <w:qFormat/>
    <w:uiPriority w:val="0"/>
    <w:pPr>
      <w:spacing w:line="360" w:lineRule="auto"/>
      <w:ind w:firstLine="723" w:firstLineChars="200"/>
    </w:pPr>
    <w:rPr>
      <w:rFonts w:cs="宋体"/>
      <w:sz w:val="24"/>
      <w:szCs w:val="24"/>
      <w:lang w:val="en-US" w:eastAsia="zh-CN" w:bidi="ar-SA"/>
    </w:rPr>
  </w:style>
  <w:style w:type="paragraph" w:customStyle="1" w:styleId="22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lishishuju"/>
    <w:basedOn w:val="12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25">
    <w:name w:val="cur1"/>
    <w:basedOn w:val="12"/>
    <w:qFormat/>
    <w:uiPriority w:val="0"/>
    <w:rPr>
      <w:color w:val="FFFFFF"/>
      <w:shd w:val="clear" w:fill="2F6B98"/>
    </w:rPr>
  </w:style>
  <w:style w:type="character" w:customStyle="1" w:styleId="26">
    <w:name w:val="lable"/>
    <w:basedOn w:val="12"/>
    <w:qFormat/>
    <w:uiPriority w:val="0"/>
    <w:rPr>
      <w:sz w:val="24"/>
      <w:szCs w:val="24"/>
    </w:rPr>
  </w:style>
  <w:style w:type="character" w:customStyle="1" w:styleId="27">
    <w:name w:val="radio-btn"/>
    <w:basedOn w:val="12"/>
    <w:qFormat/>
    <w:uiPriority w:val="0"/>
    <w:rPr>
      <w:sz w:val="21"/>
      <w:szCs w:val="21"/>
    </w:rPr>
  </w:style>
  <w:style w:type="character" w:customStyle="1" w:styleId="28">
    <w:name w:val="radio-btn1"/>
    <w:basedOn w:val="12"/>
    <w:qFormat/>
    <w:uiPriority w:val="0"/>
    <w:rPr>
      <w:sz w:val="24"/>
      <w:szCs w:val="24"/>
    </w:rPr>
  </w:style>
  <w:style w:type="character" w:customStyle="1" w:styleId="29">
    <w:name w:val="radio-btn2"/>
    <w:basedOn w:val="12"/>
    <w:qFormat/>
    <w:uiPriority w:val="0"/>
    <w:rPr>
      <w:sz w:val="24"/>
      <w:szCs w:val="24"/>
    </w:rPr>
  </w:style>
  <w:style w:type="character" w:customStyle="1" w:styleId="30">
    <w:name w:val="znspantitle"/>
    <w:basedOn w:val="12"/>
    <w:qFormat/>
    <w:uiPriority w:val="0"/>
    <w:rPr>
      <w:b/>
      <w:bCs/>
      <w:color w:val="333333"/>
    </w:rPr>
  </w:style>
  <w:style w:type="character" w:customStyle="1" w:styleId="31">
    <w:name w:val="cur"/>
    <w:basedOn w:val="12"/>
    <w:qFormat/>
    <w:uiPriority w:val="0"/>
    <w:rPr>
      <w:color w:val="FFFFFF"/>
      <w:shd w:val="clear" w:fill="2F6B9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1564</Characters>
  <Lines>13</Lines>
  <Paragraphs>3</Paragraphs>
  <TotalTime>23</TotalTime>
  <ScaleCrop>false</ScaleCrop>
  <LinksUpToDate>false</LinksUpToDate>
  <CharactersWithSpaces>1835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2023-03-07T03:48:00Z</dcterms:created>
  <dc:creator>刘甲</dc:creator>
  <cp:lastModifiedBy>Administrator</cp:lastModifiedBy>
  <cp:lastPrinted>2023-07-26T10:47:00Z</cp:lastPrinted>
  <dcterms:modified xsi:type="dcterms:W3CDTF">2023-08-04T11:26:05Z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082E3318466F49B58656341536E70826</vt:lpwstr>
  </property>
</Properties>
</file>