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</w:pPr>
    </w:p>
    <w:p>
      <w:pPr>
        <w:pStyle w:val="3"/>
        <w:spacing w:line="560" w:lineRule="exact"/>
        <w:jc w:val="both"/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伊州环函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167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伊宁县化工园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千伏输变电工程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Times New Roman"/>
          <w:kern w:val="21"/>
          <w:sz w:val="30"/>
          <w:szCs w:val="3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国网伊犁伊河供电有限责任公司</w:t>
      </w:r>
      <w:r>
        <w:rPr>
          <w:rFonts w:hint="eastAsia" w:ascii="仿宋_GB2312" w:hAnsi="仿宋_GB2312" w:eastAsia="仿宋_GB2312" w:cs="仿宋_GB2312"/>
          <w:w w:val="100"/>
          <w:kern w:val="21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你公司报批的《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伊宁县化工园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eastAsia="zh-CN"/>
        </w:rPr>
        <w:t>220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千伏输变电工程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环境影响报告表审批的请示》及相关附件均已收悉。经研究，批复如下：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一、该项目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位于新疆维吾尔自治区伊犁哈萨克自治州伊宁县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主要建设内容为：（1）拟建伊宁县化工园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220kV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变电站位于伊宁县阿乌利亚乡库鲁斯台村北侧约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3km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N43°56′53.130"，E81°43′31.891"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，本期建设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180MVA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变压器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台及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220kV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110kV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</w:rPr>
        <w:t>35kV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配电装置等。（2）伊犁～苏拉宫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Ⅰ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Ⅱ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回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入化工园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220kV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线路工程,起点为伊苏拉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Ⅰ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回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#61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、伊苏拉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Ⅱ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回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#61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两侧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接点，终点为拟建化工园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220kV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变电站，线路长约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4×5.1km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本工程总投资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14797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GB"/>
        </w:rPr>
        <w:t>其中环保投资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94.5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GB"/>
        </w:rPr>
        <w:t>万元，占总投资的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0.64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GB"/>
        </w:rPr>
        <w:t>%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GB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根据新疆鼎耀工程咨询有限公司编制的《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伊宁县化工园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eastAsia="zh-CN"/>
        </w:rPr>
        <w:t>220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千伏输变电工程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环境影响报告表》（以下简称《报告表》）、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伊宁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县分局关于该项目的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预审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意见，在全面落实《报告表》提出的各项环境保护措施后，项目建设对环境产生的不利影响可以缓解和控制。从环境保护的角度，我局原则同意按照《报告表》中所列建设项目的性质、规模、地点和拟采取的环境保护措施进行建设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三、在项目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建设和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运行过程中要严格落实《报告表》中提出的各项环保措施和建议，严格执行环保“三同时”制度，确保污染物稳定达标排放，并达到以下要求：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加强施工期环境管理，严格落实“报告表”中提出的施工期生态保护和污染防治措施。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加强对施工现场和物料运输的管理，保持道路清洁，管控料堆和渣土堆放。对易起尘的临时堆土、建筑材料运输车辆等采取密闭式防尘布(网)进行苫盖，施工面集中且有条件的地方宜采取洒水降尘等有效措施。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禁止在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地表水体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清洗车辆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机械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，严禁固废、生活垃圾等进入水体。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施工期生活区设置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一处移动卫生厕所，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环卫部门定期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拉运，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施工废水排入防渗沉淀池，沉淀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</w:rPr>
        <w:t>处理后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施工区域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洒水抑尘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施工期生活垃圾集中存放及时清运至垃圾转运站。施工现场禁止将包装物等可燃固体废弃物就地焚烧，包装袋及拆除铁塔材料统一回收、综合利用。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施工期采用低噪声设备，避免噪声扰民。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（二）施工结束后，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及时清理施工现场，做好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平整、回填、覆土,并采取复垦措施。铁塔基础等施工完毕后，应按设计要求立即对塔基基础周边开挖部分进行覆土，并进行平整夯实，以减少水土流失；对塔基、牵张场等施工扰动区地表进行平整，恢复地貌，对变电站作业区铺设碎石地坪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运营期加强对站内设备维护保养，变电站厂界噪声应符合《工业企业厂界环境噪声排放标准》</w:t>
      </w:r>
      <w:r>
        <w:rPr>
          <w:rFonts w:hint="default" w:ascii="Times New Roman" w:hAnsi="Times New Roman" w:eastAsia="方正小标宋简体" w:cs="Times New Roman"/>
          <w:kern w:val="21"/>
          <w:sz w:val="32"/>
          <w:szCs w:val="32"/>
          <w:lang w:val="en-US" w:eastAsia="zh-CN"/>
        </w:rPr>
        <w:t>(GB12348-2008)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限值要求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。线路沿线声环境应符合《声环境质量标准》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(GB3096-2008)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中相应功能区标准要求。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铅</w:t>
      </w:r>
      <w:r>
        <w:rPr>
          <w:rFonts w:hint="eastAsia" w:ascii="仿宋_GB2312" w:hAnsi="仿宋_GB2312" w:eastAsia="仿宋_GB2312" w:cs="仿宋_GB2312"/>
          <w:sz w:val="32"/>
          <w:szCs w:val="32"/>
        </w:rPr>
        <w:t>蓄电池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和事故废油要严格按照危险废物的有关要求进行管理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交有相关资质的单位进行处理。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合理布局站内电气设备及配电装置，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" w:eastAsia="zh-CN"/>
        </w:rPr>
        <w:t>认真落实《报告表》中提出的控制和改善工频电场、工频磁场对周边环境影响的措施和方法，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变电站、线路沿线电磁环境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" w:eastAsia="zh-CN"/>
        </w:rPr>
        <w:t>应符合《电磁环境控制限值》（</w:t>
      </w:r>
      <w:r>
        <w:rPr>
          <w:rFonts w:hint="default" w:ascii="Times New Roman" w:hAnsi="Times New Roman" w:eastAsia="方正小标宋简体" w:cs="Times New Roman"/>
          <w:kern w:val="21"/>
          <w:sz w:val="32"/>
          <w:szCs w:val="32"/>
          <w:lang w:val="en" w:eastAsia="zh-CN" w:bidi="ar-SA"/>
        </w:rPr>
        <w:t>GB8702-2014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w w:val="100"/>
          <w:sz w:val="32"/>
          <w:szCs w:val="32"/>
          <w:lang w:val="en"/>
        </w:rPr>
        <w:t>要求。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做好警示标志的悬挂设立工作，禁止无关人员靠近带电架构。做好员工电磁基础知识培训和电磁辐射监测工作。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四、环境影响报告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经批准后，如工程性质、规模、地点或生态保护、污染防治措施发生重大变动，须报我局重新审批。项目竣工后，应按规定程序开展竣工环境保护验收。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施工期和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运营期的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环境监督管理由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分局负责，州生态环境保护综合行政执法支队不定期进行抽查。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五、你公司应在收到本批复后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个工作日内，将批准后的《报告表》送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伊宁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县分局，并按规定接受各级生态环境行政主管部门的监督检查。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21"/>
          <w:sz w:val="32"/>
          <w:szCs w:val="32"/>
        </w:rPr>
        <w:t xml:space="preserve">   （此件社会公开）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5"/>
        <w:pBdr>
          <w:top w:val="single" w:color="auto" w:sz="12" w:space="1"/>
          <w:bottom w:val="single" w:color="auto" w:sz="12" w:space="1"/>
        </w:pBdr>
        <w:tabs>
          <w:tab w:val="left" w:pos="6840"/>
        </w:tabs>
        <w:spacing w:line="480" w:lineRule="exact"/>
        <w:ind w:left="840" w:hanging="840" w:hanging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抄送：州生态环境保护综合行政执法支队，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伊宁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县分局，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新疆鼎耀工程咨询有限公司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，本局存档。</w:t>
      </w:r>
    </w:p>
    <w:p>
      <w:pPr>
        <w:pStyle w:val="5"/>
        <w:pBdr>
          <w:bottom w:val="single" w:color="auto" w:sz="12" w:space="1"/>
          <w:between w:val="single" w:color="auto" w:sz="12" w:space="0"/>
        </w:pBdr>
        <w:tabs>
          <w:tab w:val="left" w:pos="6840"/>
        </w:tabs>
        <w:spacing w:line="480" w:lineRule="exact"/>
        <w:ind w:firstLine="140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伊犁哈萨克自治州生态环境局    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 印发</w:t>
      </w:r>
    </w:p>
    <w:sectPr>
      <w:footerReference r:id="rId3" w:type="default"/>
      <w:pgSz w:w="11906" w:h="16838"/>
      <w:pgMar w:top="1440" w:right="1800" w:bottom="1440" w:left="1800" w:header="1134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hjN2Y4MjJkNDdjNTUyNzU4MDFkMmY4NGRhNmNjMzUifQ=="/>
  </w:docVars>
  <w:rsids>
    <w:rsidRoot w:val="00172A27"/>
    <w:rsid w:val="000716F6"/>
    <w:rsid w:val="003205B4"/>
    <w:rsid w:val="006955C5"/>
    <w:rsid w:val="008423B7"/>
    <w:rsid w:val="00C32D1D"/>
    <w:rsid w:val="0178299B"/>
    <w:rsid w:val="02434DDF"/>
    <w:rsid w:val="04114082"/>
    <w:rsid w:val="046319D0"/>
    <w:rsid w:val="04753095"/>
    <w:rsid w:val="04B55E47"/>
    <w:rsid w:val="04F027A9"/>
    <w:rsid w:val="051B5955"/>
    <w:rsid w:val="06013F85"/>
    <w:rsid w:val="06EA7AE9"/>
    <w:rsid w:val="0808616E"/>
    <w:rsid w:val="081E4FBF"/>
    <w:rsid w:val="08631DD0"/>
    <w:rsid w:val="092B5F96"/>
    <w:rsid w:val="0AD616BE"/>
    <w:rsid w:val="0C486A95"/>
    <w:rsid w:val="0D070F9C"/>
    <w:rsid w:val="0D6F7BF0"/>
    <w:rsid w:val="0E4300CF"/>
    <w:rsid w:val="0EF64C2F"/>
    <w:rsid w:val="0F434917"/>
    <w:rsid w:val="0FB36066"/>
    <w:rsid w:val="0FC1695C"/>
    <w:rsid w:val="11A572A3"/>
    <w:rsid w:val="12657017"/>
    <w:rsid w:val="140E1078"/>
    <w:rsid w:val="14227D18"/>
    <w:rsid w:val="14C834FD"/>
    <w:rsid w:val="15AB651B"/>
    <w:rsid w:val="169E2609"/>
    <w:rsid w:val="177C0994"/>
    <w:rsid w:val="17827409"/>
    <w:rsid w:val="180C6085"/>
    <w:rsid w:val="18F71505"/>
    <w:rsid w:val="19672B74"/>
    <w:rsid w:val="199602BD"/>
    <w:rsid w:val="1A0A1553"/>
    <w:rsid w:val="1C3E2606"/>
    <w:rsid w:val="1CE529F5"/>
    <w:rsid w:val="1CF06FD5"/>
    <w:rsid w:val="1DB352D0"/>
    <w:rsid w:val="1EAC7E7A"/>
    <w:rsid w:val="211D10ED"/>
    <w:rsid w:val="23A83C63"/>
    <w:rsid w:val="23D53425"/>
    <w:rsid w:val="24760BE2"/>
    <w:rsid w:val="247E2C67"/>
    <w:rsid w:val="24FE0232"/>
    <w:rsid w:val="25DC4098"/>
    <w:rsid w:val="27167628"/>
    <w:rsid w:val="27657FB0"/>
    <w:rsid w:val="28526934"/>
    <w:rsid w:val="293B68B2"/>
    <w:rsid w:val="2CF202E1"/>
    <w:rsid w:val="2DA354EC"/>
    <w:rsid w:val="2E591798"/>
    <w:rsid w:val="2F044FCC"/>
    <w:rsid w:val="305B22B4"/>
    <w:rsid w:val="30E8466A"/>
    <w:rsid w:val="311E37B6"/>
    <w:rsid w:val="316D5888"/>
    <w:rsid w:val="31AA0C0A"/>
    <w:rsid w:val="32555174"/>
    <w:rsid w:val="32BE0DA6"/>
    <w:rsid w:val="335D6195"/>
    <w:rsid w:val="34935593"/>
    <w:rsid w:val="360249F0"/>
    <w:rsid w:val="367D7C87"/>
    <w:rsid w:val="39217148"/>
    <w:rsid w:val="39446403"/>
    <w:rsid w:val="39A828A4"/>
    <w:rsid w:val="3A3C7D0A"/>
    <w:rsid w:val="3A9E1B37"/>
    <w:rsid w:val="3AB964F5"/>
    <w:rsid w:val="3B553864"/>
    <w:rsid w:val="3B62097B"/>
    <w:rsid w:val="3DAD139B"/>
    <w:rsid w:val="3DEA4B22"/>
    <w:rsid w:val="3E90311A"/>
    <w:rsid w:val="3F8E15BB"/>
    <w:rsid w:val="406C449C"/>
    <w:rsid w:val="40D62F6B"/>
    <w:rsid w:val="41306042"/>
    <w:rsid w:val="435C50A7"/>
    <w:rsid w:val="440C6536"/>
    <w:rsid w:val="448C627C"/>
    <w:rsid w:val="453516C8"/>
    <w:rsid w:val="47FA2D23"/>
    <w:rsid w:val="48223734"/>
    <w:rsid w:val="49355A06"/>
    <w:rsid w:val="4989397C"/>
    <w:rsid w:val="4A256FAD"/>
    <w:rsid w:val="4B0C1B65"/>
    <w:rsid w:val="4B53102F"/>
    <w:rsid w:val="4CDC2F1E"/>
    <w:rsid w:val="4D160508"/>
    <w:rsid w:val="4E605A4D"/>
    <w:rsid w:val="4F545534"/>
    <w:rsid w:val="502D2C99"/>
    <w:rsid w:val="50E36F44"/>
    <w:rsid w:val="51AC310A"/>
    <w:rsid w:val="51BE2B7F"/>
    <w:rsid w:val="520E36D7"/>
    <w:rsid w:val="52533808"/>
    <w:rsid w:val="54745B1B"/>
    <w:rsid w:val="56C859FA"/>
    <w:rsid w:val="573D632F"/>
    <w:rsid w:val="574A7D55"/>
    <w:rsid w:val="592D2DB3"/>
    <w:rsid w:val="5AD2597D"/>
    <w:rsid w:val="5B1E41F8"/>
    <w:rsid w:val="5C484A27"/>
    <w:rsid w:val="5C5E55EB"/>
    <w:rsid w:val="5C825851"/>
    <w:rsid w:val="5CBF56B6"/>
    <w:rsid w:val="5F3A5DCA"/>
    <w:rsid w:val="5FC16FA8"/>
    <w:rsid w:val="5FE035A9"/>
    <w:rsid w:val="60D22668"/>
    <w:rsid w:val="60D60D46"/>
    <w:rsid w:val="60FA66B2"/>
    <w:rsid w:val="62385432"/>
    <w:rsid w:val="63B2141C"/>
    <w:rsid w:val="65F364D3"/>
    <w:rsid w:val="66BE62F6"/>
    <w:rsid w:val="68CB5C46"/>
    <w:rsid w:val="68D5390D"/>
    <w:rsid w:val="690C0CC9"/>
    <w:rsid w:val="693D6EB4"/>
    <w:rsid w:val="69470917"/>
    <w:rsid w:val="6967357B"/>
    <w:rsid w:val="6A572E84"/>
    <w:rsid w:val="6A971908"/>
    <w:rsid w:val="6AE31A3A"/>
    <w:rsid w:val="6B225DD0"/>
    <w:rsid w:val="6B237A6B"/>
    <w:rsid w:val="6BC36589"/>
    <w:rsid w:val="6BFE6405"/>
    <w:rsid w:val="6CDD0508"/>
    <w:rsid w:val="6D861AE7"/>
    <w:rsid w:val="6DDC27CA"/>
    <w:rsid w:val="6DE97E3C"/>
    <w:rsid w:val="6E555C92"/>
    <w:rsid w:val="6E827A5B"/>
    <w:rsid w:val="70F4096E"/>
    <w:rsid w:val="71E5266B"/>
    <w:rsid w:val="72671940"/>
    <w:rsid w:val="728C7FD0"/>
    <w:rsid w:val="730E55D1"/>
    <w:rsid w:val="76E21799"/>
    <w:rsid w:val="774C0A76"/>
    <w:rsid w:val="77777A8E"/>
    <w:rsid w:val="7AC80496"/>
    <w:rsid w:val="7AD616AA"/>
    <w:rsid w:val="7AF56621"/>
    <w:rsid w:val="7B263697"/>
    <w:rsid w:val="7BCF5952"/>
    <w:rsid w:val="7D042C28"/>
    <w:rsid w:val="7DA911B8"/>
    <w:rsid w:val="7DD2457A"/>
    <w:rsid w:val="7E1218ED"/>
    <w:rsid w:val="7E7A7267"/>
    <w:rsid w:val="7E93243A"/>
    <w:rsid w:val="7F556235"/>
    <w:rsid w:val="7F61630B"/>
    <w:rsid w:val="7F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szCs w:val="20"/>
    </w:rPr>
  </w:style>
  <w:style w:type="paragraph" w:styleId="8">
    <w:name w:val="index 1"/>
    <w:basedOn w:val="1"/>
    <w:next w:val="1"/>
    <w:unhideWhenUsed/>
    <w:qFormat/>
    <w:uiPriority w:val="0"/>
    <w:pPr>
      <w:adjustRightInd w:val="0"/>
      <w:snapToGrid w:val="0"/>
      <w:spacing w:line="440" w:lineRule="atLeast"/>
      <w:ind w:left="240" w:hanging="240"/>
      <w:jc w:val="left"/>
    </w:pPr>
    <w:rPr>
      <w:rFonts w:ascii="宋体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paragraph" w:customStyle="1" w:styleId="16">
    <w:name w:val="Default"/>
    <w:basedOn w:val="17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8">
    <w:name w:val="样式1"/>
    <w:basedOn w:val="7"/>
    <w:next w:val="1"/>
    <w:qFormat/>
    <w:uiPriority w:val="0"/>
    <w:rPr>
      <w:rFonts w:ascii="Times New Roman"/>
      <w:b/>
      <w:sz w:val="30"/>
      <w:szCs w:val="30"/>
    </w:rPr>
  </w:style>
  <w:style w:type="paragraph" w:customStyle="1" w:styleId="1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0">
    <w:name w:val="报告表正文"/>
    <w:basedOn w:val="21"/>
    <w:qFormat/>
    <w:uiPriority w:val="0"/>
    <w:pPr>
      <w:adjustRightInd w:val="0"/>
      <w:ind w:firstLine="482"/>
      <w:textAlignment w:val="baseline"/>
    </w:pPr>
  </w:style>
  <w:style w:type="paragraph" w:customStyle="1" w:styleId="21">
    <w:name w:val="报告正文"/>
    <w:basedOn w:val="22"/>
    <w:qFormat/>
    <w:uiPriority w:val="0"/>
    <w:pPr>
      <w:spacing w:line="360" w:lineRule="auto"/>
      <w:ind w:firstLine="723" w:firstLineChars="200"/>
    </w:pPr>
    <w:rPr>
      <w:rFonts w:cs="宋体"/>
      <w:sz w:val="24"/>
      <w:szCs w:val="24"/>
      <w:lang w:val="en-US" w:eastAsia="zh-CN" w:bidi="ar-SA"/>
    </w:rPr>
  </w:style>
  <w:style w:type="paragraph" w:customStyle="1" w:styleId="22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lishishuju"/>
    <w:basedOn w:val="12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qFormat/>
    <w:uiPriority w:val="0"/>
    <w:rPr>
      <w:color w:val="FFFFFF"/>
      <w:shd w:val="clear" w:fill="2F6B98"/>
    </w:rPr>
  </w:style>
  <w:style w:type="character" w:customStyle="1" w:styleId="26">
    <w:name w:val="lable"/>
    <w:basedOn w:val="12"/>
    <w:qFormat/>
    <w:uiPriority w:val="0"/>
    <w:rPr>
      <w:sz w:val="24"/>
      <w:szCs w:val="24"/>
    </w:rPr>
  </w:style>
  <w:style w:type="character" w:customStyle="1" w:styleId="27">
    <w:name w:val="radio-btn"/>
    <w:basedOn w:val="12"/>
    <w:qFormat/>
    <w:uiPriority w:val="0"/>
    <w:rPr>
      <w:sz w:val="21"/>
      <w:szCs w:val="21"/>
    </w:rPr>
  </w:style>
  <w:style w:type="character" w:customStyle="1" w:styleId="28">
    <w:name w:val="radio-btn1"/>
    <w:basedOn w:val="12"/>
    <w:qFormat/>
    <w:uiPriority w:val="0"/>
    <w:rPr>
      <w:sz w:val="24"/>
      <w:szCs w:val="24"/>
    </w:rPr>
  </w:style>
  <w:style w:type="character" w:customStyle="1" w:styleId="29">
    <w:name w:val="radio-btn2"/>
    <w:basedOn w:val="12"/>
    <w:qFormat/>
    <w:uiPriority w:val="0"/>
    <w:rPr>
      <w:sz w:val="24"/>
      <w:szCs w:val="24"/>
    </w:rPr>
  </w:style>
  <w:style w:type="character" w:customStyle="1" w:styleId="30">
    <w:name w:val="znspantitle"/>
    <w:basedOn w:val="12"/>
    <w:qFormat/>
    <w:uiPriority w:val="0"/>
    <w:rPr>
      <w:b/>
      <w:bCs/>
      <w:color w:val="333333"/>
    </w:rPr>
  </w:style>
  <w:style w:type="character" w:customStyle="1" w:styleId="31">
    <w:name w:val="cur"/>
    <w:basedOn w:val="12"/>
    <w:qFormat/>
    <w:uiPriority w:val="0"/>
    <w:rPr>
      <w:color w:val="FFFFFF"/>
      <w:shd w:val="clear" w:fill="2F6B9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1564</Characters>
  <Lines>13</Lines>
  <Paragraphs>3</Paragraphs>
  <TotalTime>18</TotalTime>
  <ScaleCrop>false</ScaleCrop>
  <LinksUpToDate>false</LinksUpToDate>
  <CharactersWithSpaces>1835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2023-03-07T03:48:00Z</dcterms:created>
  <dc:creator>刘甲</dc:creator>
  <cp:lastModifiedBy>Administrator</cp:lastModifiedBy>
  <cp:lastPrinted>2023-07-26T10:47:00Z</cp:lastPrinted>
  <dcterms:modified xsi:type="dcterms:W3CDTF">2023-08-04T11:27:40Z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082E3318466F49B58656341536E70826</vt:lpwstr>
  </property>
</Properties>
</file>