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伊犁哈萨克自治州第五次全国经济普查公报（第六号）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——部分新兴产业发展情况</w:t>
      </w:r>
    </w:p>
    <w:p>
      <w:pPr>
        <w:widowControl/>
        <w:spacing w:line="375" w:lineRule="atLeast"/>
        <w:jc w:val="center"/>
        <w:rPr>
          <w:rFonts w:hint="default" w:ascii="Times New Roman" w:hAnsi="Times New Roman" w:eastAsia="宋体" w:cs="Times New Roman"/>
          <w:color w:val="333333"/>
          <w:kern w:val="0"/>
          <w:sz w:val="32"/>
          <w:szCs w:val="32"/>
        </w:rPr>
      </w:pPr>
      <w:r>
        <w:rPr>
          <w:rFonts w:hint="default" w:ascii="Times New Roman" w:hAnsi="Times New Roman" w:eastAsia="楷体" w:cs="Times New Roman"/>
          <w:color w:val="333333"/>
          <w:kern w:val="0"/>
          <w:sz w:val="32"/>
          <w:szCs w:val="32"/>
        </w:rPr>
        <w:t>伊犁哈萨克自治州统计局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0C0C0C"/>
          <w:kern w:val="2"/>
          <w:sz w:val="32"/>
          <w:szCs w:val="32"/>
          <w:lang w:val="en-US" w:eastAsia="zh-CN" w:bidi="ar-SA"/>
        </w:rPr>
      </w:pPr>
      <w:r>
        <w:rPr>
          <w:rFonts w:hint="default" w:ascii="Times New Roman" w:hAnsi="Times New Roman" w:eastAsia="方正楷体_GBK" w:cs="Times New Roman"/>
          <w:color w:val="0C0C0C"/>
          <w:kern w:val="2"/>
          <w:sz w:val="32"/>
          <w:szCs w:val="32"/>
          <w:lang w:val="en-US" w:eastAsia="zh-CN" w:bidi="ar-SA"/>
        </w:rPr>
        <w:t>伊犁州第五次全国经济普查领导小组办公室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方正楷体_GBK" w:cs="Times New Roman"/>
          <w:color w:val="0C0C0C"/>
          <w:kern w:val="2"/>
          <w:sz w:val="32"/>
          <w:szCs w:val="32"/>
          <w:lang w:val="en-US" w:eastAsia="zh-CN" w:bidi="ar-SA"/>
        </w:rPr>
        <w:t>（2025年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25</w:t>
      </w:r>
      <w:r>
        <w:rPr>
          <w:rFonts w:hint="default" w:ascii="Times New Roman" w:hAnsi="Times New Roman" w:eastAsia="方正楷体_GBK" w:cs="Times New Roman"/>
          <w:color w:val="0C0C0C"/>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根据伊犁州第五次全国经济普查结果，现将伊犁州直第二产业和第三产业中战略性新兴产业、高技术产业、数字经济核心产业等新兴产业的主要数据公布如下：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color w:val="333333"/>
          <w:sz w:val="32"/>
          <w:szCs w:val="32"/>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一、战略性新兴产业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color w:val="333333"/>
          <w:sz w:val="32"/>
          <w:szCs w:val="32"/>
        </w:rPr>
      </w:pPr>
      <w:r>
        <w:rPr>
          <w:rFonts w:hint="default" w:ascii="Times New Roman" w:hAnsi="Times New Roman" w:eastAsia="楷体_GB2312" w:cs="Times New Roman"/>
          <w:b/>
          <w:bCs/>
          <w:i w:val="0"/>
          <w:iCs w:val="0"/>
          <w:caps w:val="0"/>
          <w:color w:val="0C0C0C"/>
          <w:spacing w:val="0"/>
          <w:kern w:val="0"/>
          <w:sz w:val="32"/>
          <w:szCs w:val="32"/>
          <w:shd w:val="clear" w:fill="FFFFFF"/>
          <w:lang w:val="en-US" w:eastAsia="zh-CN" w:bidi="ar"/>
        </w:rPr>
        <w:t>（一）工业战略性新兴产业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2023年末，伊犁州直从事战略性新兴产业生产的规模以上工业企业法人单位</w:t>
      </w:r>
      <w:r>
        <w:rPr>
          <w:rFonts w:hint="default" w:ascii="Times New Roman" w:hAnsi="Times New Roman" w:eastAsia="仿宋_GB2312" w:cs="Times New Roman"/>
          <w:i w:val="0"/>
          <w:iCs w:val="0"/>
          <w:caps w:val="0"/>
          <w:color w:val="0C0C0C"/>
          <w:spacing w:val="0"/>
          <w:kern w:val="0"/>
          <w:sz w:val="32"/>
          <w:szCs w:val="32"/>
          <w:shd w:val="clear" w:fill="FFFFFF"/>
          <w:vertAlign w:val="superscript"/>
          <w:lang w:val="en-US" w:eastAsia="zh-CN" w:bidi="ar"/>
        </w:rPr>
        <w:t>[]</w:t>
      </w:r>
      <w:r>
        <w:rPr>
          <w:rFonts w:hint="default" w:ascii="Times New Roman" w:hAnsi="Times New Roman" w:eastAsia="仿宋_GB2312" w:cs="Times New Roman"/>
          <w:i w:val="0"/>
          <w:iCs w:val="0"/>
          <w:caps w:val="0"/>
          <w:color w:val="0C0C0C"/>
          <w:spacing w:val="0"/>
          <w:kern w:val="0"/>
          <w:sz w:val="32"/>
          <w:szCs w:val="32"/>
          <w:shd w:val="clear" w:fill="FFFFFF"/>
          <w:lang w:val="en-US" w:eastAsia="zh-CN" w:bidi="ar"/>
        </w:rPr>
        <w:t>44</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个</w:t>
      </w:r>
      <w:r>
        <w:rPr>
          <w:rFonts w:hint="default" w:ascii="Times New Roman" w:hAnsi="Times New Roman" w:eastAsia="仿宋_GB2312" w:cs="Times New Roman"/>
          <w:i w:val="0"/>
          <w:iCs w:val="0"/>
          <w:caps w:val="0"/>
          <w:color w:val="0C0C0C"/>
          <w:spacing w:val="0"/>
          <w:kern w:val="0"/>
          <w:sz w:val="32"/>
          <w:szCs w:val="32"/>
          <w:shd w:val="clear" w:fill="FFFFFF"/>
          <w:vertAlign w:val="superscript"/>
          <w:lang w:val="en-US" w:eastAsia="zh-CN" w:bidi="ar"/>
        </w:rPr>
        <w:t>[]</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，占规模以上工业企业法人单位的14.7%。其中，新一代信息技术产业</w:t>
      </w:r>
      <w:r>
        <w:rPr>
          <w:rFonts w:hint="default" w:ascii="Times New Roman" w:hAnsi="Times New Roman" w:eastAsia="仿宋_GB2312" w:cs="Times New Roman"/>
          <w:i w:val="0"/>
          <w:iCs w:val="0"/>
          <w:caps w:val="0"/>
          <w:color w:val="0C0C0C"/>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个，占工业战略性新兴产业企业法人单位的4.5%；新材料产业</w:t>
      </w:r>
      <w:r>
        <w:rPr>
          <w:rFonts w:hint="default" w:ascii="Times New Roman" w:hAnsi="Times New Roman" w:eastAsia="仿宋_GB2312" w:cs="Times New Roman"/>
          <w:i w:val="0"/>
          <w:iCs w:val="0"/>
          <w:caps w:val="0"/>
          <w:color w:val="0C0C0C"/>
          <w:spacing w:val="0"/>
          <w:kern w:val="0"/>
          <w:sz w:val="32"/>
          <w:szCs w:val="32"/>
          <w:shd w:val="clear" w:fill="FFFFFF"/>
          <w:lang w:val="en-US" w:eastAsia="zh-CN" w:bidi="ar"/>
        </w:rPr>
        <w:t>7</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个，占15.9%；生物产业7个，占15.9%；新能源产业13个，占29.5%；</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节能</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环保产业14个，占31.8%。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 w:cs="Times New Roman"/>
          <w:b/>
          <w:bCs/>
          <w:color w:val="333333"/>
          <w:sz w:val="32"/>
          <w:szCs w:val="32"/>
        </w:rPr>
      </w:pPr>
      <w:r>
        <w:rPr>
          <w:rFonts w:hint="default" w:ascii="Times New Roman" w:hAnsi="Times New Roman" w:eastAsia="楷体_GB2312" w:cs="Times New Roman"/>
          <w:b/>
          <w:bCs/>
          <w:i w:val="0"/>
          <w:iCs w:val="0"/>
          <w:caps w:val="0"/>
          <w:color w:val="0C0C0C"/>
          <w:spacing w:val="0"/>
          <w:kern w:val="0"/>
          <w:sz w:val="32"/>
          <w:szCs w:val="32"/>
          <w:shd w:val="clear" w:fill="FFFFFF"/>
          <w:lang w:val="en-US" w:eastAsia="zh-CN" w:bidi="ar"/>
        </w:rPr>
        <w:t>（二）服务业战略性新兴产业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伊犁州直从事战略性新兴产业活动的规模以上服务业企业法人单位65个，占规模以上服务业企业法人单位的27.7%。其中，新一代信息技术产业25个，占服务业战略性新兴产业企业法人单位的38.5%；数字创意产业27个，占41.5%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二、高技术产业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_GB2312" w:cs="Times New Roman"/>
          <w:b/>
          <w:bCs/>
          <w:i w:val="0"/>
          <w:iCs w:val="0"/>
          <w:caps w:val="0"/>
          <w:color w:val="0C0C0C"/>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0C0C0C"/>
          <w:spacing w:val="0"/>
          <w:kern w:val="0"/>
          <w:sz w:val="32"/>
          <w:szCs w:val="32"/>
          <w:shd w:val="clear" w:fill="FFFFFF"/>
          <w:lang w:val="en-US" w:eastAsia="zh-CN" w:bidi="ar"/>
        </w:rPr>
        <w:t>（一）高技术制造业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t>2023年末，伊犁州直共有规模以上高技术制造业企业法人单位6个，比2018年末增长100%。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t>2023年，伊犁州直规模以上高技术制造业企业法人单位全年实现营业收入67</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.0</w:t>
      </w:r>
      <w:r>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t>亿元，比2018年增长9.1%。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t>2023年，规模以上高技术制造业企业法人单位全年专利申请量16件，其中发明专利申请10件，专利申请量比2018年末下降42.9%，发明专利申请比</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2018年末</w:t>
      </w:r>
      <w:r>
        <w:rPr>
          <w:rFonts w:hint="default" w:ascii="Times New Roman" w:hAnsi="Times New Roman" w:eastAsia="仿宋_GB2312" w:cs="Times New Roman"/>
          <w:i w:val="0"/>
          <w:iCs w:val="0"/>
          <w:caps w:val="0"/>
          <w:color w:val="0C0C0C"/>
          <w:spacing w:val="-6"/>
          <w:kern w:val="0"/>
          <w:sz w:val="32"/>
          <w:szCs w:val="32"/>
          <w:shd w:val="clear" w:fill="FFFFFF"/>
          <w:lang w:val="zh-CN" w:eastAsia="zh-CN" w:bidi="ar"/>
        </w:rPr>
        <w:t>增长400%；发明专利申请所占比重为62.5%，比规模以上制造业平均水平高44.3个百分点。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楷体" w:cs="Times New Roman"/>
          <w:b/>
          <w:bCs/>
          <w:color w:val="333333"/>
          <w:sz w:val="32"/>
          <w:szCs w:val="32"/>
        </w:rPr>
      </w:pPr>
      <w:r>
        <w:rPr>
          <w:rFonts w:hint="default" w:ascii="Times New Roman" w:hAnsi="Times New Roman" w:eastAsia="楷体_GB2312" w:cs="Times New Roman"/>
          <w:b/>
          <w:bCs/>
          <w:i w:val="0"/>
          <w:iCs w:val="0"/>
          <w:caps w:val="0"/>
          <w:color w:val="0C0C0C"/>
          <w:spacing w:val="0"/>
          <w:kern w:val="0"/>
          <w:sz w:val="32"/>
          <w:szCs w:val="32"/>
          <w:shd w:val="clear" w:fill="FFFFFF"/>
          <w:lang w:val="en-US" w:eastAsia="zh-CN" w:bidi="ar"/>
        </w:rPr>
        <w:t>（二）高技术服务业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伊犁州直共有规模以上高技术服务业企业法人单位57个，占规模以上服务业企业法人单位的24.3%。其中，信息服务37个，占规模以上高技术服务业企业法人单位的64.9%；专业技术服务业中高技术服务11个，占规模以上高技术服务业企业法人单位的19.3%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2023年末，规模以上高技术服务业企业法人单位全年实现营业收入107.84亿元，占规模以上服务业企业法人单位营业收入的48.1%。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三、数字经济核心产业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2023年末，伊犁州直共有</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数字经济核心产业企业法人单位1301个，</w:t>
      </w: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从业人员8949人。全年实现营业收入241.85亿元。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在数字经济核心产业企业法人单位中，数字产品制造业11个，占0.9%；数字产品服务业197个，占15.1%；数字技术应用业630个，占48.4%；数字要素驱动业463个，占35.6%。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在数字经济核心产业企业法人单位从业人员中，数字产品制造业464人，占5.2%；数字产品服务业778人，占8.7%；数字技术应用业5749人，占64.2%；数字要素驱动业1958人，占21.9%。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0C0C0C"/>
          <w:spacing w:val="-6"/>
          <w:kern w:val="0"/>
          <w:sz w:val="32"/>
          <w:szCs w:val="32"/>
          <w:shd w:val="clear" w:fill="FFFFFF"/>
          <w:lang w:val="en-US" w:eastAsia="zh-CN" w:bidi="ar"/>
        </w:rPr>
        <w:t>在数字经济核心产业企业法人单位营业收入中，数字产品制造业1.49亿元，占0.6%；数字产品服务业11.81亿元，占4.9%；数字技术应用业143.68亿元，占59.4%；数字要素驱动业84.68亿元，占35.1%。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四、工业企业研究与试验发展活动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6"/>
          <w:kern w:val="0"/>
          <w:sz w:val="32"/>
          <w:szCs w:val="32"/>
          <w:shd w:val="clear" w:fill="FFFFFF"/>
          <w:lang w:val="en-US" w:eastAsia="zh-CN" w:bidi="ar"/>
          <w14:textFill>
            <w14:solidFill>
              <w14:schemeClr w14:val="tx1"/>
            </w14:solidFill>
          </w14:textFill>
        </w:rPr>
        <w:t>2023年，开展R&amp;D活动的规模以上工业企业法人单位23个，比2018年增长109.1%，占全部规模以上工业企业法人单位的7.7%。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6"/>
          <w:kern w:val="0"/>
          <w:sz w:val="32"/>
          <w:szCs w:val="32"/>
          <w:shd w:val="clear" w:fill="FFFFFF"/>
          <w:lang w:val="en-US" w:eastAsia="zh-CN" w:bidi="ar"/>
          <w14:textFill>
            <w14:solidFill>
              <w14:schemeClr w14:val="tx1"/>
            </w14:solidFill>
          </w14:textFill>
        </w:rPr>
        <w:t>2023年，规模以上工业企业法人单位R&amp;D人员折合全时当量835人年，比2018年增长66.0%。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6"/>
          <w:kern w:val="0"/>
          <w:sz w:val="32"/>
          <w:szCs w:val="32"/>
          <w:shd w:val="clear" w:fill="FFFFFF"/>
          <w:lang w:val="en-US" w:eastAsia="zh-CN" w:bidi="ar"/>
          <w14:textFill>
            <w14:solidFill>
              <w14:schemeClr w14:val="tx1"/>
            </w14:solidFill>
          </w14:textFill>
        </w:rPr>
        <w:t>2023年，规模以上工业企业法人单位R&amp;D经费支出15126万元；R&amp;D经费与营业收入之比为0.19%。规模以上工业企业法人单位分行业R&amp;D经费支出及R&amp;D经费与营业收入之比（详见表6-1）。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left"/>
        <w:textAlignment w:val="auto"/>
        <w:rPr>
          <w:rFonts w:hint="default" w:ascii="Times New Roman" w:hAnsi="Times New Roman" w:eastAsia="仿宋_GB2312" w:cs="Times New Roman"/>
          <w:b/>
          <w:bCs/>
          <w:i w:val="0"/>
          <w:iCs w:val="0"/>
          <w:caps w:val="0"/>
          <w:color w:val="0C0C0C"/>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6"/>
          <w:kern w:val="0"/>
          <w:sz w:val="32"/>
          <w:szCs w:val="32"/>
          <w:shd w:val="clear" w:fill="FFFFFF"/>
          <w:lang w:val="en-US" w:eastAsia="zh-CN" w:bidi="ar"/>
        </w:rPr>
        <w:t>2023年，规模以上工业企业法人单位全年专利申请量362件，其中发明专利申请99件，分别比2018年增长583.0%和1000%；发明专利申请所占比重为27.3%，比2018年提高10.3个百分点。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default" w:ascii="Times New Roman" w:hAnsi="Times New Roman" w:eastAsia="宋体" w:cs="Times New Roman"/>
          <w:b/>
          <w:bCs/>
          <w:i w:val="0"/>
          <w:iCs w:val="0"/>
          <w:caps w:val="0"/>
          <w:color w:val="0C0C0C"/>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default" w:ascii="Times New Roman" w:hAnsi="Times New Roman" w:cs="Times New Roman"/>
          <w:color w:val="333333"/>
          <w:sz w:val="24"/>
          <w:szCs w:val="24"/>
        </w:rPr>
      </w:pPr>
      <w:r>
        <w:rPr>
          <w:rFonts w:hint="default" w:ascii="Times New Roman" w:hAnsi="Times New Roman" w:eastAsia="宋体" w:cs="Times New Roman"/>
          <w:b/>
          <w:bCs/>
          <w:i w:val="0"/>
          <w:iCs w:val="0"/>
          <w:caps w:val="0"/>
          <w:color w:val="0C0C0C"/>
          <w:spacing w:val="0"/>
          <w:kern w:val="0"/>
          <w:sz w:val="24"/>
          <w:szCs w:val="24"/>
          <w:shd w:val="clear" w:fill="FFFFFF"/>
          <w:lang w:val="en-US" w:eastAsia="zh-CN" w:bidi="ar"/>
        </w:rPr>
        <w:t>表</w:t>
      </w:r>
      <w:r>
        <w:rPr>
          <w:rFonts w:hint="default" w:ascii="Times New Roman" w:hAnsi="Times New Roman" w:eastAsia="微软雅黑" w:cs="Times New Roman"/>
          <w:b/>
          <w:bCs/>
          <w:i w:val="0"/>
          <w:iCs w:val="0"/>
          <w:caps w:val="0"/>
          <w:color w:val="0C0C0C"/>
          <w:spacing w:val="0"/>
          <w:kern w:val="0"/>
          <w:sz w:val="24"/>
          <w:szCs w:val="24"/>
          <w:shd w:val="clear" w:fill="FFFFFF"/>
          <w:lang w:val="en-US" w:eastAsia="zh-CN" w:bidi="ar"/>
        </w:rPr>
        <w:t>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40" w:lineRule="exact"/>
        <w:ind w:left="1498" w:right="0" w:hanging="607"/>
        <w:jc w:val="center"/>
        <w:textAlignment w:val="auto"/>
        <w:rPr>
          <w:rFonts w:hint="default" w:ascii="Times New Roman" w:hAnsi="Times New Roman" w:cs="Times New Roman"/>
          <w:color w:val="333333"/>
          <w:sz w:val="24"/>
          <w:szCs w:val="24"/>
        </w:rPr>
      </w:pPr>
      <w:r>
        <w:rPr>
          <w:rFonts w:hint="default" w:ascii="Times New Roman" w:hAnsi="Times New Roman" w:eastAsia="微软雅黑" w:cs="Times New Roman"/>
          <w:b/>
          <w:bCs/>
          <w:i w:val="0"/>
          <w:iCs w:val="0"/>
          <w:caps w:val="0"/>
          <w:color w:val="0C0C0C"/>
          <w:spacing w:val="0"/>
          <w:kern w:val="0"/>
          <w:sz w:val="24"/>
          <w:szCs w:val="24"/>
          <w:shd w:val="clear" w:fill="FFFFFF"/>
          <w:lang w:val="en-US" w:eastAsia="zh-CN" w:bidi="ar"/>
        </w:rPr>
        <w:t>R&amp;D经费支出及R&amp;D经费与营业收入之比</w:t>
      </w:r>
    </w:p>
    <w:tbl>
      <w:tblPr>
        <w:tblStyle w:val="7"/>
        <w:tblW w:w="4717" w:type="pct"/>
        <w:jc w:val="center"/>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87"/>
        <w:gridCol w:w="2120"/>
        <w:gridCol w:w="2152"/>
      </w:tblGrid>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413" w:type="pct"/>
            <w:tcBorders>
              <w:top w:val="single" w:color="auto" w:sz="12"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0"/>
              <w:jc w:val="left"/>
              <w:textAlignment w:val="auto"/>
              <w:rPr>
                <w:rFonts w:hint="default" w:ascii="Times New Roman" w:hAnsi="Times New Roman" w:cs="Times New Roman"/>
                <w:color w:val="333333"/>
                <w:sz w:val="22"/>
                <w:szCs w:val="22"/>
              </w:rPr>
            </w:pPr>
          </w:p>
        </w:tc>
        <w:tc>
          <w:tcPr>
            <w:tcW w:w="1283" w:type="pct"/>
            <w:tcBorders>
              <w:top w:val="single" w:color="auto" w:sz="12"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leftChars="0" w:right="0" w:firstLine="0" w:firstLineChars="0"/>
              <w:jc w:val="center"/>
              <w:textAlignment w:val="auto"/>
              <w:rPr>
                <w:rFonts w:hint="default" w:ascii="Times New Roman" w:hAnsi="Times New Roman" w:cs="Times New Roman" w:eastAsiaTheme="minorEastAsia"/>
                <w:b/>
                <w:bCs/>
                <w:color w:val="0C0C0C"/>
                <w:kern w:val="0"/>
                <w:sz w:val="22"/>
                <w:szCs w:val="22"/>
                <w:lang w:val="en-US" w:eastAsia="zh-CN" w:bidi="ar"/>
              </w:rPr>
            </w:pPr>
            <w:r>
              <w:rPr>
                <w:rFonts w:hint="default" w:ascii="Times New Roman" w:hAnsi="Times New Roman" w:cs="Times New Roman" w:eastAsiaTheme="minorEastAsia"/>
                <w:b/>
                <w:bCs/>
                <w:color w:val="0C0C0C"/>
                <w:kern w:val="0"/>
                <w:sz w:val="22"/>
                <w:szCs w:val="22"/>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leftChars="0" w:right="0" w:firstLine="0" w:firstLineChars="0"/>
              <w:jc w:val="center"/>
              <w:textAlignment w:val="auto"/>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（万元）</w:t>
            </w:r>
          </w:p>
        </w:tc>
        <w:tc>
          <w:tcPr>
            <w:tcW w:w="1302" w:type="pct"/>
            <w:tcBorders>
              <w:top w:val="single" w:color="auto" w:sz="12" w:space="0"/>
              <w:left w:val="nil"/>
              <w:bottom w:val="single" w:color="auto" w:sz="8" w:space="0"/>
              <w:right w:val="nil"/>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leftChars="0" w:right="0" w:firstLine="0" w:firstLineChars="0"/>
              <w:jc w:val="center"/>
              <w:textAlignment w:val="auto"/>
              <w:rPr>
                <w:rFonts w:hint="default" w:ascii="Times New Roman" w:hAnsi="Times New Roman" w:cs="Times New Roman" w:eastAsiaTheme="minorEastAsia"/>
                <w:b/>
                <w:bCs/>
                <w:color w:val="0C0C0C"/>
                <w:kern w:val="0"/>
                <w:sz w:val="22"/>
                <w:szCs w:val="22"/>
                <w:lang w:val="en-US" w:eastAsia="zh-CN" w:bidi="ar"/>
              </w:rPr>
            </w:pPr>
            <w:r>
              <w:rPr>
                <w:rFonts w:hint="default" w:ascii="Times New Roman" w:hAnsi="Times New Roman" w:cs="Times New Roman" w:eastAsiaTheme="minorEastAsia"/>
                <w:b/>
                <w:bCs/>
                <w:color w:val="0C0C0C"/>
                <w:kern w:val="0"/>
                <w:sz w:val="22"/>
                <w:szCs w:val="22"/>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leftChars="0" w:right="0" w:firstLine="0" w:firstLineChars="0"/>
              <w:jc w:val="center"/>
              <w:textAlignment w:val="auto"/>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收入之比（%）</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leftChars="0" w:right="57" w:firstLine="0" w:firstLineChars="0"/>
              <w:jc w:val="left"/>
              <w:textAlignment w:val="auto"/>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合　计</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C0C0C"/>
                <w:kern w:val="0"/>
                <w:sz w:val="22"/>
                <w:szCs w:val="22"/>
                <w:u w:val="none"/>
                <w:lang w:val="en-US" w:eastAsia="zh-CN" w:bidi="ar"/>
              </w:rPr>
              <w:t xml:space="preserve">15126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default" w:ascii="Times New Roman" w:hAnsi="Times New Roman" w:cs="Times New Roman"/>
                <w:b/>
                <w:bCs/>
                <w:i w:val="0"/>
                <w:iCs w:val="0"/>
                <w:color w:val="000000"/>
                <w:kern w:val="0"/>
                <w:sz w:val="22"/>
                <w:szCs w:val="22"/>
                <w:u w:val="none"/>
                <w:lang w:val="en-US" w:eastAsia="zh-CN" w:bidi="ar"/>
              </w:rPr>
              <w:t>19</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0"/>
              <w:jc w:val="left"/>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采矿业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C0C0C"/>
                <w:kern w:val="0"/>
                <w:sz w:val="22"/>
                <w:szCs w:val="22"/>
                <w:u w:val="none"/>
                <w:lang w:val="en-US" w:eastAsia="zh-CN" w:bidi="ar"/>
              </w:rPr>
              <w:t xml:space="preserve">238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b/>
                <w:bCs/>
                <w:color w:val="333333"/>
                <w:sz w:val="22"/>
                <w:szCs w:val="22"/>
                <w:lang w:val="en-US"/>
              </w:rPr>
            </w:pPr>
            <w:r>
              <w:rPr>
                <w:rFonts w:hint="default" w:ascii="Times New Roman" w:hAnsi="Times New Roman" w:cs="Times New Roman"/>
                <w:b/>
                <w:bCs/>
                <w:i w:val="0"/>
                <w:iCs w:val="0"/>
                <w:color w:val="000000"/>
                <w:kern w:val="0"/>
                <w:sz w:val="22"/>
                <w:szCs w:val="22"/>
                <w:u w:val="none"/>
                <w:lang w:val="en-US" w:eastAsia="zh-CN" w:bidi="ar"/>
              </w:rPr>
              <w:t>0.04</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煤炭开采和洗选业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238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cs="Times New Roman"/>
                <w:i w:val="0"/>
                <w:iCs w:val="0"/>
                <w:color w:val="000000"/>
                <w:kern w:val="0"/>
                <w:sz w:val="22"/>
                <w:szCs w:val="22"/>
                <w:u w:val="none"/>
                <w:lang w:val="en-US" w:eastAsia="zh-CN" w:bidi="ar"/>
              </w:rPr>
              <w:t>0.05</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0"/>
              <w:jc w:val="left"/>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制造业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C0C0C"/>
                <w:kern w:val="0"/>
                <w:sz w:val="22"/>
                <w:szCs w:val="22"/>
                <w:u w:val="none"/>
                <w:lang w:val="en-US" w:eastAsia="zh-CN" w:bidi="ar"/>
              </w:rPr>
              <w:t xml:space="preserve">11762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0.2</w:t>
            </w:r>
            <w:r>
              <w:rPr>
                <w:rFonts w:hint="default" w:ascii="Times New Roman" w:hAnsi="Times New Roman" w:cs="Times New Roman"/>
                <w:b/>
                <w:bCs/>
                <w:i w:val="0"/>
                <w:iCs w:val="0"/>
                <w:color w:val="000000"/>
                <w:kern w:val="0"/>
                <w:sz w:val="22"/>
                <w:szCs w:val="22"/>
                <w:u w:val="none"/>
                <w:lang w:val="en-US" w:eastAsia="zh-CN" w:bidi="ar"/>
              </w:rPr>
              <w:t>3</w:t>
            </w:r>
            <w:r>
              <w:rPr>
                <w:rFonts w:hint="default" w:ascii="Times New Roman" w:hAnsi="Times New Roman" w:eastAsia="宋体" w:cs="Times New Roman"/>
                <w:b w:val="0"/>
                <w:bCs w:val="0"/>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农副食品加工业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1190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cs="Times New Roman"/>
                <w:i w:val="0"/>
                <w:iCs w:val="0"/>
                <w:color w:val="000000"/>
                <w:kern w:val="0"/>
                <w:sz w:val="22"/>
                <w:szCs w:val="22"/>
                <w:u w:val="none"/>
                <w:lang w:val="en-US" w:eastAsia="zh-CN" w:bidi="ar"/>
              </w:rPr>
              <w:t>28</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食品制造业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108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0.1</w:t>
            </w:r>
            <w:r>
              <w:rPr>
                <w:rFonts w:hint="default" w:ascii="Times New Roman" w:hAnsi="Times New Roman"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纺织业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2766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 xml:space="preserve">5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化学原料和化学制品制造业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92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lang w:val="en-US"/>
              </w:rPr>
            </w:pPr>
            <w:r>
              <w:rPr>
                <w:rFonts w:hint="default" w:ascii="Times New Roman" w:hAnsi="Times New Roman" w:cs="Times New Roman"/>
                <w:i w:val="0"/>
                <w:iCs w:val="0"/>
                <w:color w:val="000000"/>
                <w:kern w:val="0"/>
                <w:sz w:val="22"/>
                <w:szCs w:val="22"/>
                <w:u w:val="none"/>
                <w:lang w:val="en-US" w:eastAsia="zh-CN" w:bidi="ar"/>
              </w:rPr>
              <w:t>0.03</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橡胶和塑料制品业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135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0.2</w:t>
            </w: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非金属矿物制品业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1625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0.1</w:t>
            </w: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黑色金属冶炼和压延加工业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1313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cs="Times New Roman"/>
                <w:i w:val="0"/>
                <w:iCs w:val="0"/>
                <w:color w:val="000000"/>
                <w:kern w:val="0"/>
                <w:sz w:val="22"/>
                <w:szCs w:val="22"/>
                <w:u w:val="none"/>
                <w:lang w:val="en-US" w:eastAsia="zh-CN" w:bidi="ar"/>
              </w:rPr>
              <w:t>16</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有色金属冶炼和压延加工业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358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0.1</w:t>
            </w: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金属制品业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276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cs="Times New Roman"/>
                <w:i w:val="0"/>
                <w:iCs w:val="0"/>
                <w:color w:val="000000"/>
                <w:kern w:val="0"/>
                <w:sz w:val="22"/>
                <w:szCs w:val="22"/>
                <w:u w:val="none"/>
                <w:lang w:val="en-US" w:eastAsia="zh-CN" w:bidi="ar"/>
              </w:rPr>
              <w:t>18</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电气机械和器材制造业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2094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cs="Times New Roman"/>
                <w:i w:val="0"/>
                <w:iCs w:val="0"/>
                <w:color w:val="000000"/>
                <w:kern w:val="0"/>
                <w:sz w:val="22"/>
                <w:szCs w:val="22"/>
                <w:u w:val="none"/>
                <w:lang w:val="en-US" w:eastAsia="zh-CN" w:bidi="ar"/>
              </w:rPr>
              <w:t>28</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2413" w:type="pct"/>
            <w:tcBorders>
              <w:top w:val="nil"/>
              <w:left w:val="nil"/>
              <w:bottom w:val="nil"/>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0"/>
              <w:jc w:val="left"/>
              <w:rPr>
                <w:rFonts w:hint="default" w:ascii="Times New Roman" w:hAnsi="Times New Roman" w:cs="Times New Roman"/>
                <w:color w:val="333333"/>
                <w:sz w:val="22"/>
                <w:szCs w:val="22"/>
              </w:rPr>
            </w:pPr>
            <w:r>
              <w:rPr>
                <w:rFonts w:hint="default" w:ascii="Times New Roman" w:hAnsi="Times New Roman" w:cs="Times New Roman" w:eastAsiaTheme="minorEastAsia"/>
                <w:b/>
                <w:bCs/>
                <w:color w:val="0C0C0C"/>
                <w:kern w:val="0"/>
                <w:sz w:val="22"/>
                <w:szCs w:val="22"/>
                <w:lang w:val="en-US" w:eastAsia="zh-CN" w:bidi="ar"/>
              </w:rPr>
              <w:t>电力、热力、燃气及水生产和供应业</w:t>
            </w:r>
          </w:p>
        </w:tc>
        <w:tc>
          <w:tcPr>
            <w:tcW w:w="1283" w:type="pct"/>
            <w:tcBorders>
              <w:top w:val="nil"/>
              <w:left w:val="nil"/>
              <w:bottom w:val="nil"/>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C0C0C"/>
                <w:kern w:val="0"/>
                <w:sz w:val="22"/>
                <w:szCs w:val="22"/>
                <w:u w:val="none"/>
                <w:lang w:val="en-US" w:eastAsia="zh-CN" w:bidi="ar"/>
              </w:rPr>
              <w:t xml:space="preserve">3127 </w:t>
            </w:r>
          </w:p>
        </w:tc>
        <w:tc>
          <w:tcPr>
            <w:tcW w:w="1302" w:type="pct"/>
            <w:tcBorders>
              <w:top w:val="nil"/>
              <w:left w:val="nil"/>
              <w:bottom w:val="nil"/>
              <w:right w:val="nil"/>
            </w:tcBorders>
            <w:shd w:val="clear" w:color="auto" w:fill="auto"/>
            <w:tcMar>
              <w:top w:w="0" w:type="dxa"/>
              <w:left w:w="0" w:type="dxa"/>
              <w:bottom w:w="0" w:type="dxa"/>
              <w:right w:w="0" w:type="dxa"/>
            </w:tcMar>
            <w:vAlign w:val="bottom"/>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bottom"/>
              <w:rPr>
                <w:rFonts w:hint="default" w:ascii="Times New Roman" w:hAnsi="Times New Roman" w:cs="Times New Roman"/>
                <w:b/>
                <w:bCs/>
                <w:color w:val="333333"/>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0.1</w:t>
            </w:r>
            <w:r>
              <w:rPr>
                <w:rFonts w:hint="default" w:ascii="Times New Roman" w:hAnsi="Times New Roman" w:cs="Times New Roman"/>
                <w:b/>
                <w:bCs/>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EBEBEB" w:sz="6" w:space="0"/>
            <w:left w:val="single" w:color="EBEBEB" w:sz="6" w:space="0"/>
            <w:bottom w:val="single" w:color="EBEBEB" w:sz="6" w:space="0"/>
            <w:right w:val="single" w:color="EBEBEB" w:sz="6" w:space="0"/>
            <w:insideH w:val="none" w:color="auto" w:sz="0" w:space="0"/>
            <w:insideV w:val="none" w:color="auto" w:sz="0" w:space="0"/>
          </w:tblBorders>
          <w:tblCellMar>
            <w:top w:w="15" w:type="dxa"/>
            <w:left w:w="15" w:type="dxa"/>
            <w:bottom w:w="15" w:type="dxa"/>
            <w:right w:w="15" w:type="dxa"/>
          </w:tblCellMar>
        </w:tblPrEx>
        <w:trPr>
          <w:trHeight w:val="243" w:hRule="atLeast"/>
          <w:jc w:val="center"/>
        </w:trPr>
        <w:tc>
          <w:tcPr>
            <w:tcW w:w="2413" w:type="pct"/>
            <w:tcBorders>
              <w:top w:val="nil"/>
              <w:left w:val="nil"/>
              <w:bottom w:val="single" w:color="auto" w:sz="12" w:space="0"/>
              <w:right w:val="single" w:color="auto" w:sz="8" w:space="0"/>
            </w:tcBorders>
            <w:shd w:val="clear" w:color="auto" w:fill="auto"/>
            <w:tcMar>
              <w:top w:w="0" w:type="dxa"/>
              <w:left w:w="0" w:type="dxa"/>
              <w:bottom w:w="0" w:type="dxa"/>
              <w:right w:w="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57" w:firstLine="360"/>
              <w:jc w:val="left"/>
              <w:rPr>
                <w:rFonts w:hint="default" w:ascii="Times New Roman" w:hAnsi="Times New Roman" w:cs="Times New Roman"/>
                <w:color w:val="333333"/>
                <w:sz w:val="22"/>
                <w:szCs w:val="22"/>
              </w:rPr>
            </w:pPr>
            <w:r>
              <w:rPr>
                <w:rFonts w:hint="default" w:ascii="Times New Roman" w:hAnsi="Times New Roman" w:cs="Times New Roman" w:eastAsiaTheme="minorEastAsia"/>
                <w:color w:val="0C0C0C"/>
                <w:kern w:val="0"/>
                <w:sz w:val="22"/>
                <w:szCs w:val="22"/>
                <w:lang w:val="en-US" w:eastAsia="zh-CN" w:bidi="ar"/>
              </w:rPr>
              <w:t>燃气生产和供应业</w:t>
            </w:r>
          </w:p>
        </w:tc>
        <w:tc>
          <w:tcPr>
            <w:tcW w:w="1283" w:type="pct"/>
            <w:tcBorders>
              <w:top w:val="nil"/>
              <w:left w:val="nil"/>
              <w:bottom w:val="single" w:color="auto" w:sz="12"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cs="Times New Roman"/>
                <w:color w:val="333333"/>
                <w:sz w:val="22"/>
                <w:szCs w:val="22"/>
              </w:rPr>
            </w:pPr>
            <w:r>
              <w:rPr>
                <w:rFonts w:hint="default" w:ascii="Times New Roman" w:hAnsi="Times New Roman" w:eastAsia="宋体" w:cs="Times New Roman"/>
                <w:i w:val="0"/>
                <w:iCs w:val="0"/>
                <w:color w:val="0C0C0C"/>
                <w:kern w:val="0"/>
                <w:sz w:val="22"/>
                <w:szCs w:val="22"/>
                <w:u w:val="none"/>
                <w:lang w:val="en-US" w:eastAsia="zh-CN" w:bidi="ar"/>
              </w:rPr>
              <w:t xml:space="preserve">3127 </w:t>
            </w:r>
          </w:p>
        </w:tc>
        <w:tc>
          <w:tcPr>
            <w:tcW w:w="1302" w:type="pct"/>
            <w:tcBorders>
              <w:top w:val="nil"/>
              <w:left w:val="nil"/>
              <w:bottom w:val="single" w:color="auto" w:sz="12" w:space="0"/>
              <w:right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cs="Times New Roman"/>
                <w:color w:val="333333"/>
                <w:sz w:val="22"/>
                <w:szCs w:val="22"/>
                <w:lang w:val="en-US"/>
              </w:rPr>
            </w:pPr>
            <w:r>
              <w:rPr>
                <w:rFonts w:hint="default" w:ascii="Times New Roman" w:hAnsi="Times New Roman" w:cs="Times New Roman"/>
                <w:i w:val="0"/>
                <w:iCs w:val="0"/>
                <w:color w:val="000000"/>
                <w:kern w:val="0"/>
                <w:sz w:val="22"/>
                <w:szCs w:val="22"/>
                <w:u w:val="none"/>
                <w:lang w:val="en-US" w:eastAsia="zh-CN" w:bidi="ar"/>
              </w:rPr>
              <w:t>0.27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C0C0C"/>
          <w:spacing w:val="0"/>
          <w:kern w:val="0"/>
          <w:sz w:val="32"/>
          <w:szCs w:val="32"/>
          <w:shd w:val="clear" w:fill="FFFFFF"/>
          <w:lang w:val="en-US" w:eastAsia="zh-CN" w:bidi="ar"/>
        </w:rPr>
        <w:t>五、文化及相关产业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2023年末，伊犁州直共有文化及相关产业法人单位2230个，从业人员10848人；资产总计538.55亿元。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2023年末，伊犁州直共有经营性文化产业法人单位1989个，从业人员8060人；资产总计517.46亿元。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rFonts w:hint="default" w:ascii="Times New Roman" w:hAnsi="Times New Roman" w:eastAsia="微软雅黑" w:cs="Times New Roman"/>
          <w:b/>
          <w:bCs/>
          <w:i w:val="0"/>
          <w:iCs w:val="0"/>
          <w:caps w:val="0"/>
          <w:color w:val="0C0C0C"/>
          <w:spacing w:val="0"/>
          <w:kern w:val="0"/>
          <w:sz w:val="24"/>
          <w:szCs w:val="24"/>
          <w:shd w:val="clear" w:fill="FFFFFF"/>
          <w:lang w:val="en-US" w:eastAsia="zh-CN" w:bidi="ar"/>
        </w:rPr>
      </w:pPr>
      <w:r>
        <w:rPr>
          <w:rFonts w:hint="default" w:ascii="Times New Roman" w:hAnsi="Times New Roman" w:eastAsia="仿宋_GB2312" w:cs="Times New Roman"/>
          <w:color w:val="auto"/>
          <w:spacing w:val="-6"/>
          <w:kern w:val="2"/>
          <w:sz w:val="32"/>
          <w:szCs w:val="32"/>
          <w:u w:val="none"/>
          <w:lang w:val="en-US" w:eastAsia="zh-CN" w:bidi="ar-SA"/>
        </w:rPr>
        <w:t>2023年末，伊犁州直共有公益性文化事业（含社团）法人单位241个，从业人员2788人</w:t>
      </w:r>
      <w:r>
        <w:rPr>
          <w:rFonts w:hint="default" w:ascii="Times New Roman" w:hAnsi="Times New Roman" w:eastAsia="仿宋_GB2312" w:cs="Times New Roman"/>
          <w:i w:val="0"/>
          <w:iCs w:val="0"/>
          <w:caps w:val="0"/>
          <w:color w:val="auto"/>
          <w:spacing w:val="-6"/>
          <w:kern w:val="0"/>
          <w:sz w:val="32"/>
          <w:szCs w:val="32"/>
          <w:shd w:val="clear" w:fill="FFFFFF"/>
          <w:lang w:val="en-US" w:eastAsia="zh-CN" w:bidi="ar"/>
        </w:rPr>
        <w:t>；</w:t>
      </w:r>
      <w:r>
        <w:rPr>
          <w:rFonts w:hint="default" w:ascii="Times New Roman" w:hAnsi="Times New Roman" w:eastAsia="仿宋_GB2312" w:cs="Times New Roman"/>
          <w:i w:val="0"/>
          <w:iCs w:val="0"/>
          <w:caps w:val="0"/>
          <w:color w:val="333333"/>
          <w:spacing w:val="-6"/>
          <w:kern w:val="0"/>
          <w:sz w:val="32"/>
          <w:szCs w:val="32"/>
          <w:shd w:val="clear" w:fill="FFFFFF"/>
          <w:lang w:val="en-US" w:eastAsia="zh-CN" w:bidi="ar"/>
        </w:rPr>
        <w:t>资产总计21.09亿元，比2018年末增长118.8%；本年支出（费用）9.35亿元，比2018年增长101.5%。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560" w:lineRule="exact"/>
        <w:ind w:left="0" w:right="0" w:firstLine="643"/>
        <w:jc w:val="left"/>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b/>
          <w:bCs/>
          <w:i w:val="0"/>
          <w:iCs w:val="0"/>
          <w:caps w:val="0"/>
          <w:color w:val="0C0C0C"/>
          <w:spacing w:val="0"/>
          <w:kern w:val="0"/>
          <w:sz w:val="28"/>
          <w:szCs w:val="28"/>
          <w:shd w:val="clear" w:fill="FFFFFF"/>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[2]规模以上工业：是指年主营业务收入2000万元及以上的工业法人单位。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[7]研究与试验发展：是指为增加知识存量（也包括有关人类、文化和社会的知识）以及设计已有知识的新应用而进行的创造性、系统性工作，包括基础研究、应用研究和试验发展3种类型。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sz w:val="28"/>
          <w:szCs w:val="28"/>
          <w:shd w:val="clear" w:fill="FFFFFF"/>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[9]表中的合计数和部分计算数据因小数取舍而产生的误差，均未作机械调整。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333333"/>
          <w:sz w:val="28"/>
          <w:szCs w:val="28"/>
        </w:rPr>
      </w:pPr>
      <w:r>
        <w:rPr>
          <w:rFonts w:hint="default" w:ascii="Times New Roman" w:hAnsi="Times New Roman" w:eastAsia="仿宋_GB2312" w:cs="Times New Roman"/>
          <w:i w:val="0"/>
          <w:iCs w:val="0"/>
          <w:caps w:val="0"/>
          <w:color w:val="0C0C0C"/>
          <w:spacing w:val="0"/>
          <w:kern w:val="0"/>
          <w:sz w:val="28"/>
          <w:szCs w:val="28"/>
          <w:shd w:val="clear" w:fill="FFFFFF"/>
          <w:lang w:val="en-US" w:eastAsia="zh-CN" w:bidi="ar"/>
        </w:rPr>
        <w:t>[10]不含兵团数据。</w:t>
      </w:r>
    </w:p>
    <w:p>
      <w:bookmarkStart w:id="0" w:name="_GoBack"/>
      <w:bookmarkEnd w:id="0"/>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61FE5"/>
    <w:multiLevelType w:val="singleLevel"/>
    <w:tmpl w:val="BCF61FE5"/>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671DA"/>
    <w:rsid w:val="5BC6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List Number 5"/>
    <w:basedOn w:val="1"/>
    <w:next w:val="4"/>
    <w:uiPriority w:val="0"/>
    <w:pPr>
      <w:numPr>
        <w:ilvl w:val="0"/>
        <w:numId w:val="1"/>
      </w:numPr>
    </w:pPr>
  </w:style>
  <w:style w:type="paragraph" w:styleId="5">
    <w:name w:val="Normal Indent"/>
    <w:basedOn w:val="1"/>
    <w:next w:val="1"/>
    <w:qFormat/>
    <w:uiPriority w:val="0"/>
  </w:style>
  <w:style w:type="paragraph" w:styleId="6">
    <w:name w:val="Normal (Web)"/>
    <w:basedOn w:val="1"/>
    <w:unhideWhenUsed/>
    <w:qFormat/>
    <w:uiPriority w:val="0"/>
    <w:pPr>
      <w:spacing w:before="100" w:beforeLines="0" w:beforeAutospacing="1" w:after="100" w:afterLines="0" w:afterAutospacing="1"/>
    </w:pPr>
    <w:rPr>
      <w:rFonts w:hint="default" w:ascii="Times New Roman" w:hAnsi="Times New Roman" w:eastAsia="宋体"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2025-06-25T03:44:00Z</dcterms:created>
  <dc:creator>Administrator</dc:creator>
  <cp:lastModifiedBy>Administrator</cp:lastModifiedBy>
  <dcterms:modified xsi:type="dcterms:W3CDTF">2025-06-25T03:45:02Z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933474C2DE7B44D5997C3A49952039E0</vt:lpwstr>
  </property>
</Properties>
</file>