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伊犁哈萨克自治州第五次全国经济普查公报（第五号）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——第三产业基本情况之二</w:t>
      </w:r>
    </w:p>
    <w:p>
      <w:pPr>
        <w:widowControl/>
        <w:spacing w:line="375" w:lineRule="atLeast"/>
        <w:jc w:val="center"/>
        <w:rPr>
          <w:rFonts w:hint="default" w:ascii="Times New Roman" w:hAnsi="Times New Roman" w:eastAsia="宋体" w:cs="Times New Roman"/>
          <w:color w:val="333333"/>
          <w:kern w:val="0"/>
          <w:sz w:val="32"/>
          <w:szCs w:val="32"/>
        </w:rPr>
      </w:pPr>
      <w:r>
        <w:rPr>
          <w:rFonts w:hint="default" w:ascii="Times New Roman" w:hAnsi="Times New Roman" w:eastAsia="楷体" w:cs="Times New Roman"/>
          <w:color w:val="333333"/>
          <w:kern w:val="0"/>
          <w:sz w:val="32"/>
          <w:szCs w:val="32"/>
        </w:rPr>
        <w:t>伊犁哈萨克自治州统计局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0C0C0C"/>
          <w:kern w:val="2"/>
          <w:sz w:val="32"/>
          <w:szCs w:val="32"/>
          <w:lang w:val="en-US" w:eastAsia="zh-CN" w:bidi="ar-SA"/>
        </w:rPr>
      </w:pPr>
      <w:r>
        <w:rPr>
          <w:rFonts w:hint="default" w:ascii="Times New Roman" w:hAnsi="Times New Roman" w:eastAsia="方正楷体_GBK" w:cs="Times New Roman"/>
          <w:color w:val="0C0C0C"/>
          <w:kern w:val="2"/>
          <w:sz w:val="32"/>
          <w:szCs w:val="32"/>
          <w:lang w:val="en-US" w:eastAsia="zh-CN" w:bidi="ar-SA"/>
        </w:rPr>
        <w:t>伊犁州第五次全国经济普查领导小组办公室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方正楷体_GBK" w:cs="Times New Roman"/>
          <w:color w:val="0C0C0C"/>
          <w:kern w:val="2"/>
          <w:sz w:val="32"/>
          <w:szCs w:val="32"/>
          <w:lang w:val="en-US" w:eastAsia="zh-CN" w:bidi="ar-SA"/>
        </w:rPr>
        <w:t>（2025年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25</w:t>
      </w:r>
      <w:r>
        <w:rPr>
          <w:rFonts w:hint="default" w:ascii="Times New Roman" w:hAnsi="Times New Roman" w:eastAsia="方正楷体_GBK" w:cs="Times New Roman"/>
          <w:color w:val="0C0C0C"/>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cs="Times New Roman"/>
          <w:color w:val="0C0C0C"/>
          <w:kern w:val="2"/>
          <w:sz w:val="36"/>
          <w:szCs w:val="36"/>
          <w:u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center"/>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根据伊犁州第五次全国经济普查结果，现将伊犁州直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 xml:space="preserve">    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仿宋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仿宋_GB2312" w:cs="Times New Roman"/>
          <w:color w:val="0C0C0C"/>
          <w:spacing w:val="-6"/>
          <w:kern w:val="2"/>
          <w:sz w:val="32"/>
          <w:szCs w:val="32"/>
          <w:u w:val="none"/>
          <w:lang w:val="en-US" w:eastAsia="zh-CN" w:bidi="ar-SA"/>
        </w:rPr>
        <w:t>2023年末，伊犁州直共有科学研究和技术服务业法人单位</w:t>
      </w:r>
      <w:r>
        <w:rPr>
          <w:rFonts w:hint="default" w:ascii="Times New Roman" w:hAnsi="Times New Roman" w:eastAsia="仿宋_GB2312" w:cs="Times New Roman"/>
          <w:color w:val="0C0C0C"/>
          <w:sz w:val="32"/>
          <w:szCs w:val="32"/>
          <w:u w:val="none"/>
          <w:lang w:val="en-US" w:eastAsia="zh-CN"/>
        </w:rPr>
        <w:t>1424</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13852</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29.5</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60.4</w:t>
      </w:r>
      <w:r>
        <w:rPr>
          <w:rFonts w:hint="default" w:ascii="Times New Roman" w:hAnsi="Times New Roman" w:eastAsia="仿宋_GB2312" w:cs="Times New Roman"/>
          <w:color w:val="0C0C0C"/>
          <w:spacing w:val="-6"/>
          <w:kern w:val="2"/>
          <w:sz w:val="32"/>
          <w:szCs w:val="32"/>
          <w:u w:val="none"/>
          <w:lang w:val="en-US" w:eastAsia="zh-CN" w:bidi="ar-SA"/>
        </w:rPr>
        <w:t>%。其中，企业法人单位</w:t>
      </w:r>
      <w:r>
        <w:rPr>
          <w:rFonts w:hint="default" w:ascii="Times New Roman" w:hAnsi="Times New Roman" w:eastAsia="仿宋_GB2312" w:cs="Times New Roman"/>
          <w:i w:val="0"/>
          <w:caps w:val="0"/>
          <w:color w:val="0C0C0C"/>
          <w:spacing w:val="0"/>
          <w:kern w:val="0"/>
          <w:sz w:val="32"/>
          <w:szCs w:val="32"/>
          <w:highlight w:val="none"/>
          <w:vertAlign w:val="superscript"/>
          <w:lang w:val="en-US" w:eastAsia="zh-CN" w:bidi="ar"/>
        </w:rPr>
        <w:footnoteReference w:id="0"/>
      </w:r>
      <w:r>
        <w:rPr>
          <w:rFonts w:hint="default" w:ascii="Times New Roman" w:hAnsi="Times New Roman" w:eastAsia="仿宋_GB2312" w:cs="Times New Roman"/>
          <w:color w:val="0C0C0C"/>
          <w:sz w:val="32"/>
          <w:szCs w:val="32"/>
          <w:u w:val="none"/>
          <w:lang w:val="en-US" w:eastAsia="zh-CN"/>
        </w:rPr>
        <w:t>1222</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11749</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40.6</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112.2</w:t>
      </w:r>
      <w:r>
        <w:rPr>
          <w:rFonts w:hint="default" w:ascii="Times New Roman" w:hAnsi="Times New Roman" w:eastAsia="仿宋_GB2312" w:cs="Times New Roman"/>
          <w:color w:val="0C0C0C"/>
          <w:spacing w:val="-6"/>
          <w:kern w:val="2"/>
          <w:sz w:val="32"/>
          <w:szCs w:val="32"/>
          <w:u w:val="none"/>
          <w:lang w:val="en-US" w:eastAsia="zh-CN" w:bidi="ar-SA"/>
        </w:rPr>
        <w:t>%（详见表5-1）。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8"/>
          <w:szCs w:val="28"/>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企业法人单位数和从业人员</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3108"/>
        <w:gridCol w:w="2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C0C0C"/>
                <w:sz w:val="22"/>
                <w:szCs w:val="22"/>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1222 </w:t>
            </w:r>
          </w:p>
        </w:tc>
        <w:tc>
          <w:tcPr>
            <w:tcW w:w="256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11749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25 </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842 </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8780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355 </w:t>
            </w:r>
          </w:p>
        </w:tc>
        <w:tc>
          <w:tcPr>
            <w:tcW w:w="256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2867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cs="Times New Roman"/>
          <w:color w:val="0C0C0C"/>
          <w:spacing w:val="-6"/>
          <w:kern w:val="2"/>
          <w:sz w:val="36"/>
          <w:szCs w:val="36"/>
          <w:u w:val="none"/>
          <w:lang w:val="en-US" w:eastAsia="zh-CN" w:bidi="ar-SA"/>
        </w:rPr>
        <w:t xml:space="preserve">   </w:t>
      </w:r>
      <w:r>
        <w:rPr>
          <w:rFonts w:hint="default" w:ascii="Times New Roman" w:hAnsi="Times New Roman" w:cs="Times New Roman"/>
          <w:color w:val="0C0C0C"/>
          <w:spacing w:val="-6"/>
          <w:kern w:val="2"/>
          <w:sz w:val="32"/>
          <w:szCs w:val="32"/>
          <w:u w:val="none"/>
          <w:lang w:val="en-US" w:eastAsia="zh-CN" w:bidi="ar-SA"/>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cs="Times New Roman"/>
          <w:color w:val="0C0C0C"/>
          <w:spacing w:val="-6"/>
          <w:kern w:val="2"/>
          <w:sz w:val="32"/>
          <w:szCs w:val="32"/>
          <w:u w:val="none"/>
          <w:lang w:val="en-US" w:eastAsia="zh-CN" w:bidi="ar-SA"/>
        </w:rPr>
        <w:t xml:space="preserve">  </w:t>
      </w:r>
      <w:r>
        <w:rPr>
          <w:rFonts w:hint="default" w:ascii="Times New Roman" w:hAnsi="Times New Roman" w:eastAsia="仿宋_GB2312" w:cs="Times New Roman"/>
          <w:color w:val="0C0C0C"/>
          <w:spacing w:val="-6"/>
          <w:kern w:val="2"/>
          <w:sz w:val="32"/>
          <w:szCs w:val="32"/>
          <w:u w:val="none"/>
          <w:lang w:val="en-US" w:eastAsia="zh-CN" w:bidi="ar-SA"/>
        </w:rPr>
        <w:t xml:space="preserve">  2023年末，科学研究和技术服务业企业法人单位资产总计</w:t>
      </w:r>
      <w:r>
        <w:rPr>
          <w:rFonts w:hint="default" w:ascii="Times New Roman" w:hAnsi="Times New Roman" w:eastAsia="仿宋_GB2312" w:cs="Times New Roman"/>
          <w:color w:val="0C0C0C"/>
          <w:sz w:val="32"/>
          <w:szCs w:val="32"/>
          <w:u w:val="none"/>
          <w:lang w:val="en-US" w:eastAsia="zh-CN"/>
        </w:rPr>
        <w:t>210.89</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85.8</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115.16</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89.3</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 xml:space="preserve">    2023年，科学研究和技术服务业企业法人单位全年实现营业收入</w:t>
      </w:r>
      <w:r>
        <w:rPr>
          <w:rFonts w:hint="default" w:ascii="Times New Roman" w:hAnsi="Times New Roman" w:eastAsia="仿宋_GB2312" w:cs="Times New Roman"/>
          <w:color w:val="0C0C0C"/>
          <w:sz w:val="32"/>
          <w:szCs w:val="32"/>
          <w:u w:val="none"/>
          <w:lang w:val="en-US" w:eastAsia="zh-CN"/>
        </w:rPr>
        <w:t>68.39</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4.8</w:t>
      </w:r>
      <w:r>
        <w:rPr>
          <w:rFonts w:hint="default" w:ascii="Times New Roman" w:hAnsi="Times New Roman" w:eastAsia="仿宋_GB2312" w:cs="Times New Roman"/>
          <w:color w:val="0C0C0C"/>
          <w:spacing w:val="-6"/>
          <w:kern w:val="2"/>
          <w:sz w:val="32"/>
          <w:szCs w:val="32"/>
          <w:u w:val="none"/>
          <w:lang w:val="en-US" w:eastAsia="zh-CN" w:bidi="ar-SA"/>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表5-</w:t>
      </w:r>
      <w:r>
        <w:rPr>
          <w:rFonts w:hint="default" w:ascii="Times New Roman" w:hAnsi="Times New Roman"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企业法人单位主要经济指标</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41"/>
        <w:gridCol w:w="1564"/>
        <w:gridCol w:w="1564"/>
        <w:gridCol w:w="15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C0C0C"/>
                <w:sz w:val="22"/>
                <w:szCs w:val="22"/>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210.89 </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115.16 </w:t>
            </w:r>
          </w:p>
        </w:tc>
        <w:tc>
          <w:tcPr>
            <w:tcW w:w="156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68.39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1.61 </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1.40 </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93.40 </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44.54 </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27.46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115.88 </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69.22 </w:t>
            </w:r>
          </w:p>
        </w:tc>
        <w:tc>
          <w:tcPr>
            <w:tcW w:w="156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40.51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560" w:lineRule="exact"/>
        <w:ind w:right="0" w:firstLine="640" w:firstLineChars="200"/>
        <w:jc w:val="left"/>
        <w:textAlignment w:val="auto"/>
        <w:rPr>
          <w:rFonts w:hint="default" w:ascii="Times New Roman" w:hAnsi="Times New Roman" w:eastAsia="黑体" w:cs="Times New Roman"/>
          <w:b w:val="0"/>
          <w:bCs/>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w:t>
      </w:r>
      <w:r>
        <w:rPr>
          <w:rFonts w:hint="default" w:ascii="Times New Roman" w:hAnsi="Times New Roman" w:eastAsia="仿宋_GB2312" w:cs="Times New Roman"/>
          <w:color w:val="0C0C0C"/>
          <w:spacing w:val="-6"/>
          <w:kern w:val="2"/>
          <w:sz w:val="32"/>
          <w:szCs w:val="32"/>
          <w:u w:val="none"/>
          <w:lang w:val="en-US" w:eastAsia="zh-CN" w:bidi="ar-SA"/>
        </w:rPr>
        <w:t xml:space="preserve">  2023年末，伊犁州直共有水利、环境和公共设施管理业法人单位</w:t>
      </w:r>
      <w:r>
        <w:rPr>
          <w:rFonts w:hint="default" w:ascii="Times New Roman" w:hAnsi="Times New Roman" w:eastAsia="仿宋_GB2312" w:cs="Times New Roman"/>
          <w:color w:val="0C0C0C"/>
          <w:sz w:val="32"/>
          <w:szCs w:val="32"/>
          <w:u w:val="none"/>
          <w:lang w:val="en-US" w:eastAsia="zh-CN"/>
        </w:rPr>
        <w:t>310</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6392</w:t>
      </w:r>
      <w:r>
        <w:rPr>
          <w:rFonts w:hint="default" w:ascii="Times New Roman" w:hAnsi="Times New Roman" w:eastAsia="仿宋_GB2312" w:cs="Times New Roman"/>
          <w:color w:val="0C0C0C"/>
          <w:spacing w:val="-6"/>
          <w:kern w:val="2"/>
          <w:sz w:val="32"/>
          <w:szCs w:val="32"/>
          <w:u w:val="none"/>
          <w:lang w:val="en-US" w:eastAsia="zh-CN" w:bidi="ar-SA"/>
        </w:rPr>
        <w:t>人，分别比2018年末增长70.3%和</w:t>
      </w:r>
      <w:r>
        <w:rPr>
          <w:rFonts w:hint="default" w:ascii="Times New Roman" w:hAnsi="Times New Roman" w:eastAsia="仿宋_GB2312" w:cs="Times New Roman"/>
          <w:color w:val="0C0C0C"/>
          <w:sz w:val="32"/>
          <w:szCs w:val="32"/>
          <w:u w:val="none"/>
          <w:lang w:val="en-US" w:eastAsia="zh-CN"/>
        </w:rPr>
        <w:t>45.1</w:t>
      </w:r>
      <w:r>
        <w:rPr>
          <w:rFonts w:hint="default" w:ascii="Times New Roman" w:hAnsi="Times New Roman" w:eastAsia="仿宋_GB2312" w:cs="Times New Roman"/>
          <w:color w:val="0C0C0C"/>
          <w:spacing w:val="-6"/>
          <w:kern w:val="2"/>
          <w:sz w:val="32"/>
          <w:szCs w:val="32"/>
          <w:u w:val="none"/>
          <w:lang w:val="en-US" w:eastAsia="zh-CN" w:bidi="ar-SA"/>
        </w:rPr>
        <w:t>%。其中，行政事业及非企业法人单位</w:t>
      </w:r>
      <w:r>
        <w:rPr>
          <w:rFonts w:hint="default" w:ascii="Times New Roman" w:hAnsi="Times New Roman" w:eastAsia="仿宋_GB2312" w:cs="Times New Roman"/>
          <w:color w:val="0C0C0C"/>
          <w:sz w:val="32"/>
          <w:szCs w:val="32"/>
          <w:u w:val="none"/>
          <w:lang w:val="en-US" w:eastAsia="zh-CN"/>
        </w:rPr>
        <w:t>78</w:t>
      </w:r>
      <w:r>
        <w:rPr>
          <w:rFonts w:hint="default" w:ascii="Times New Roman" w:hAnsi="Times New Roman" w:eastAsia="仿宋_GB2312" w:cs="Times New Roman"/>
          <w:color w:val="0C0C0C"/>
          <w:spacing w:val="-6"/>
          <w:kern w:val="2"/>
          <w:sz w:val="32"/>
          <w:szCs w:val="32"/>
          <w:u w:val="none"/>
          <w:lang w:val="en-US" w:eastAsia="zh-CN" w:bidi="ar-SA"/>
        </w:rPr>
        <w:t>个，比2018年末下降</w:t>
      </w:r>
      <w:r>
        <w:rPr>
          <w:rFonts w:hint="default" w:ascii="Times New Roman" w:hAnsi="Times New Roman" w:eastAsia="仿宋_GB2312" w:cs="Times New Roman"/>
          <w:color w:val="0C0C0C"/>
          <w:sz w:val="32"/>
          <w:szCs w:val="32"/>
          <w:u w:val="none"/>
          <w:lang w:val="en-US" w:eastAsia="zh-CN"/>
        </w:rPr>
        <w:t>9.3</w:t>
      </w:r>
      <w:r>
        <w:rPr>
          <w:rFonts w:hint="default" w:ascii="Times New Roman" w:hAnsi="Times New Roman" w:eastAsia="仿宋_GB2312" w:cs="Times New Roman"/>
          <w:color w:val="0C0C0C"/>
          <w:spacing w:val="-6"/>
          <w:kern w:val="2"/>
          <w:sz w:val="32"/>
          <w:szCs w:val="32"/>
          <w:u w:val="none"/>
          <w:lang w:val="en-US" w:eastAsia="zh-CN" w:bidi="ar-SA"/>
        </w:rPr>
        <w:t>%；从业人员</w:t>
      </w:r>
      <w:r>
        <w:rPr>
          <w:rFonts w:hint="default" w:ascii="Times New Roman" w:hAnsi="Times New Roman" w:eastAsia="仿宋_GB2312" w:cs="Times New Roman"/>
          <w:color w:val="0C0C0C"/>
          <w:sz w:val="32"/>
          <w:szCs w:val="32"/>
          <w:u w:val="none"/>
          <w:lang w:val="en-US" w:eastAsia="zh-CN"/>
        </w:rPr>
        <w:t>2791</w:t>
      </w:r>
      <w:r>
        <w:rPr>
          <w:rFonts w:hint="default" w:ascii="Times New Roman" w:hAnsi="Times New Roman" w:eastAsia="仿宋_GB2312" w:cs="Times New Roman"/>
          <w:color w:val="0C0C0C"/>
          <w:spacing w:val="-6"/>
          <w:kern w:val="2"/>
          <w:sz w:val="32"/>
          <w:szCs w:val="32"/>
          <w:u w:val="none"/>
          <w:lang w:val="en-US" w:eastAsia="zh-CN" w:bidi="ar-SA"/>
        </w:rPr>
        <w:t>人，比2018年末下降</w:t>
      </w:r>
      <w:r>
        <w:rPr>
          <w:rFonts w:hint="default" w:ascii="Times New Roman" w:hAnsi="Times New Roman" w:eastAsia="仿宋_GB2312" w:cs="Times New Roman"/>
          <w:color w:val="0C0C0C"/>
          <w:sz w:val="32"/>
          <w:szCs w:val="32"/>
          <w:u w:val="none"/>
          <w:lang w:val="en-US" w:eastAsia="zh-CN"/>
        </w:rPr>
        <w:t>18.3</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cs="Times New Roman"/>
          <w:color w:val="0C0C0C"/>
          <w:spacing w:val="-6"/>
          <w:kern w:val="2"/>
          <w:sz w:val="32"/>
          <w:szCs w:val="32"/>
          <w:u w:val="none"/>
          <w:lang w:val="en-US" w:eastAsia="zh-CN" w:bidi="ar-SA"/>
        </w:rPr>
        <w:t xml:space="preserve">  </w:t>
      </w:r>
      <w:r>
        <w:rPr>
          <w:rFonts w:hint="default" w:ascii="Times New Roman" w:hAnsi="Times New Roman" w:eastAsia="仿宋_GB2312" w:cs="Times New Roman"/>
          <w:color w:val="0C0C0C"/>
          <w:spacing w:val="-6"/>
          <w:kern w:val="2"/>
          <w:sz w:val="32"/>
          <w:szCs w:val="32"/>
          <w:u w:val="none"/>
          <w:lang w:val="en-US" w:eastAsia="zh-CN" w:bidi="ar-SA"/>
        </w:rPr>
        <w:t xml:space="preserve">  2023年末，水利、环境和公共设施管理业企业法人单位资产总计</w:t>
      </w:r>
      <w:r>
        <w:rPr>
          <w:rFonts w:hint="default" w:ascii="Times New Roman" w:hAnsi="Times New Roman" w:eastAsia="仿宋_GB2312" w:cs="Times New Roman"/>
          <w:color w:val="0C0C0C"/>
          <w:sz w:val="32"/>
          <w:szCs w:val="32"/>
          <w:u w:val="none"/>
          <w:lang w:val="en-US" w:eastAsia="zh-CN"/>
        </w:rPr>
        <w:t>252.6</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10.6倍</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105.59</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12.9倍</w:t>
      </w:r>
      <w:r>
        <w:rPr>
          <w:rFonts w:hint="default" w:ascii="Times New Roman" w:hAnsi="Times New Roman" w:eastAsia="仿宋_GB2312" w:cs="Times New Roman"/>
          <w:color w:val="0C0C0C"/>
          <w:spacing w:val="-6"/>
          <w:kern w:val="2"/>
          <w:sz w:val="32"/>
          <w:szCs w:val="32"/>
          <w:u w:val="none"/>
          <w:lang w:val="en-US" w:eastAsia="zh-CN" w:bidi="ar-SA"/>
        </w:rPr>
        <w:t>。全年实现营业收入</w:t>
      </w:r>
      <w:r>
        <w:rPr>
          <w:rFonts w:hint="default" w:ascii="Times New Roman" w:hAnsi="Times New Roman" w:eastAsia="仿宋_GB2312" w:cs="Times New Roman"/>
          <w:color w:val="0C0C0C"/>
          <w:sz w:val="32"/>
          <w:szCs w:val="32"/>
          <w:u w:val="none"/>
          <w:lang w:val="en-US" w:eastAsia="zh-CN"/>
        </w:rPr>
        <w:t>15.39</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7.2倍</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 xml:space="preserve">    行政事业及非企业法人单位年末资产36.4亿元，比2018年末增长30.3%。本年支出（费用）合计9.1亿元，比2018年增长31.7%。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黑体" w:cs="Times New Roman"/>
          <w:b w:val="0"/>
          <w:bCs/>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16"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C0C0C"/>
          <w:spacing w:val="-6"/>
          <w:kern w:val="2"/>
          <w:sz w:val="32"/>
          <w:szCs w:val="32"/>
          <w:u w:val="none"/>
          <w:lang w:val="en" w:eastAsia="zh-CN" w:bidi="ar-SA"/>
        </w:rPr>
        <w:t>2023年末，伊犁州直共有居民服务、修理和其他服务业企业法人单位</w:t>
      </w:r>
      <w:r>
        <w:rPr>
          <w:rFonts w:hint="default" w:ascii="Times New Roman" w:hAnsi="Times New Roman" w:eastAsia="仿宋_GB2312" w:cs="Times New Roman"/>
          <w:color w:val="0C0C0C"/>
          <w:sz w:val="32"/>
          <w:szCs w:val="32"/>
          <w:u w:val="none"/>
          <w:lang w:val="en-US" w:eastAsia="zh-CN"/>
        </w:rPr>
        <w:t>543</w:t>
      </w:r>
      <w:r>
        <w:rPr>
          <w:rFonts w:hint="default" w:ascii="Times New Roman" w:hAnsi="Times New Roman" w:eastAsia="仿宋_GB2312" w:cs="Times New Roman"/>
          <w:color w:val="0C0C0C"/>
          <w:spacing w:val="-6"/>
          <w:kern w:val="2"/>
          <w:sz w:val="32"/>
          <w:szCs w:val="32"/>
          <w:u w:val="none"/>
          <w:lang w:val="en" w:eastAsia="zh-CN" w:bidi="ar-SA"/>
        </w:rPr>
        <w:t>个，从业人员</w:t>
      </w:r>
      <w:r>
        <w:rPr>
          <w:rFonts w:hint="default" w:ascii="Times New Roman" w:hAnsi="Times New Roman" w:eastAsia="仿宋_GB2312" w:cs="Times New Roman"/>
          <w:color w:val="0C0C0C"/>
          <w:sz w:val="32"/>
          <w:szCs w:val="32"/>
          <w:u w:val="none"/>
          <w:lang w:val="en-US" w:eastAsia="zh-CN"/>
        </w:rPr>
        <w:t>5103</w:t>
      </w:r>
      <w:r>
        <w:rPr>
          <w:rFonts w:hint="default" w:ascii="Times New Roman" w:hAnsi="Times New Roman" w:eastAsia="仿宋_GB2312" w:cs="Times New Roman"/>
          <w:color w:val="0C0C0C"/>
          <w:spacing w:val="-6"/>
          <w:kern w:val="2"/>
          <w:sz w:val="32"/>
          <w:szCs w:val="32"/>
          <w:u w:val="none"/>
          <w:lang w:val="en" w:eastAsia="zh-CN" w:bidi="ar-SA"/>
        </w:rPr>
        <w:t>人，分别比2018年末增长</w:t>
      </w:r>
      <w:r>
        <w:rPr>
          <w:rFonts w:hint="default" w:ascii="Times New Roman" w:hAnsi="Times New Roman" w:eastAsia="仿宋_GB2312" w:cs="Times New Roman"/>
          <w:color w:val="0C0C0C"/>
          <w:sz w:val="32"/>
          <w:szCs w:val="32"/>
          <w:u w:val="none"/>
          <w:lang w:val="en-US" w:eastAsia="zh-CN"/>
        </w:rPr>
        <w:t>126.5</w:t>
      </w:r>
      <w:r>
        <w:rPr>
          <w:rFonts w:hint="default" w:ascii="Times New Roman" w:hAnsi="Times New Roman" w:eastAsia="仿宋_GB2312" w:cs="Times New Roman"/>
          <w:color w:val="0C0C0C"/>
          <w:spacing w:val="-6"/>
          <w:kern w:val="2"/>
          <w:sz w:val="32"/>
          <w:szCs w:val="32"/>
          <w:u w:val="none"/>
          <w:lang w:val="en" w:eastAsia="zh-CN" w:bidi="ar-SA"/>
        </w:rPr>
        <w:t>%和</w:t>
      </w:r>
      <w:r>
        <w:rPr>
          <w:rFonts w:hint="default" w:ascii="Times New Roman" w:hAnsi="Times New Roman" w:eastAsia="仿宋_GB2312" w:cs="Times New Roman"/>
          <w:color w:val="0C0C0C"/>
          <w:sz w:val="32"/>
          <w:szCs w:val="32"/>
          <w:u w:val="none"/>
          <w:lang w:val="en-US" w:eastAsia="zh-CN"/>
        </w:rPr>
        <w:t>224.2</w:t>
      </w:r>
      <w:r>
        <w:rPr>
          <w:rFonts w:hint="default" w:ascii="Times New Roman" w:hAnsi="Times New Roman" w:eastAsia="仿宋_GB2312" w:cs="Times New Roman"/>
          <w:color w:val="0C0C0C"/>
          <w:spacing w:val="-6"/>
          <w:kern w:val="2"/>
          <w:sz w:val="32"/>
          <w:szCs w:val="32"/>
          <w:u w:val="none"/>
          <w:lang w:val="en" w:eastAsia="zh-CN" w:bidi="ar-SA"/>
        </w:rPr>
        <w:t>%（详见表5-</w:t>
      </w:r>
      <w:r>
        <w:rPr>
          <w:rFonts w:hint="default" w:ascii="Times New Roman" w:hAnsi="Times New Roman"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 w:eastAsia="zh-CN" w:bidi="ar-SA"/>
        </w:rPr>
        <w:t>）</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表5-</w:t>
      </w:r>
      <w:r>
        <w:rPr>
          <w:rFonts w:hint="default" w:ascii="Times New Roman" w:hAnsi="Times New Roman"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企业法人单位数和从业人员</w:t>
      </w:r>
    </w:p>
    <w:tbl>
      <w:tblPr>
        <w:tblStyle w:val="7"/>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25"/>
        <w:gridCol w:w="2513"/>
        <w:gridCol w:w="19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C0C0C"/>
                <w:sz w:val="22"/>
                <w:szCs w:val="22"/>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235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543 </w:t>
            </w:r>
          </w:p>
        </w:tc>
        <w:tc>
          <w:tcPr>
            <w:tcW w:w="189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5103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居民服务业</w:t>
            </w:r>
          </w:p>
        </w:tc>
        <w:tc>
          <w:tcPr>
            <w:tcW w:w="235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196 </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机动车、电子产品和日用产品修理业</w:t>
            </w:r>
          </w:p>
        </w:tc>
        <w:tc>
          <w:tcPr>
            <w:tcW w:w="235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281 </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1366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其他服务业</w:t>
            </w:r>
          </w:p>
        </w:tc>
        <w:tc>
          <w:tcPr>
            <w:tcW w:w="235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66 </w:t>
            </w:r>
          </w:p>
        </w:tc>
        <w:tc>
          <w:tcPr>
            <w:tcW w:w="189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2611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b/>
          <w:bCs/>
          <w:i w:val="0"/>
          <w:caps w:val="0"/>
          <w:color w:val="0C0C0C"/>
          <w:spacing w:val="0"/>
          <w:kern w:val="0"/>
          <w:sz w:val="32"/>
          <w:szCs w:val="32"/>
          <w:highlight w:val="none"/>
          <w:lang w:val="en-US" w:eastAsia="zh-CN" w:bidi="ar"/>
        </w:rPr>
        <w:t>（二）主要经济指标</w:t>
      </w:r>
    </w:p>
    <w:p>
      <w:pPr>
        <w:pStyle w:val="5"/>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i w:val="0"/>
          <w:caps w:val="0"/>
          <w:color w:val="0C0C0C"/>
          <w:spacing w:val="0"/>
          <w:kern w:val="0"/>
          <w:sz w:val="24"/>
          <w:szCs w:val="24"/>
          <w:highlight w:val="none"/>
          <w:lang w:val="en-US" w:eastAsia="zh-CN" w:bidi="ar"/>
        </w:rPr>
      </w:pPr>
      <w:r>
        <w:rPr>
          <w:rFonts w:hint="default" w:ascii="Times New Roman" w:hAnsi="Times New Roman" w:eastAsia="仿宋_GB2312" w:cs="Times New Roman"/>
          <w:color w:val="0C0C0C"/>
          <w:spacing w:val="-6"/>
          <w:kern w:val="2"/>
          <w:sz w:val="32"/>
          <w:szCs w:val="32"/>
          <w:u w:val="none"/>
          <w:lang w:val="en-US" w:eastAsia="zh-CN" w:bidi="ar-SA"/>
        </w:rPr>
        <w:t>2023年末，居民服务、修理和其他服务业企业法人单位资产总计</w:t>
      </w:r>
      <w:r>
        <w:rPr>
          <w:rFonts w:hint="default" w:ascii="Times New Roman" w:hAnsi="Times New Roman" w:eastAsia="仿宋_GB2312" w:cs="Times New Roman"/>
          <w:color w:val="0C0C0C"/>
          <w:sz w:val="32"/>
          <w:szCs w:val="32"/>
          <w:u w:val="none"/>
          <w:lang w:val="en-US" w:eastAsia="zh-CN"/>
        </w:rPr>
        <w:t>9.27</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102.8</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7.65</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176.2</w:t>
      </w:r>
      <w:r>
        <w:rPr>
          <w:rFonts w:hint="default" w:ascii="Times New Roman" w:hAnsi="Times New Roman" w:eastAsia="仿宋_GB2312" w:cs="Times New Roman"/>
          <w:color w:val="0C0C0C"/>
          <w:spacing w:val="-6"/>
          <w:kern w:val="2"/>
          <w:sz w:val="32"/>
          <w:szCs w:val="32"/>
          <w:u w:val="none"/>
          <w:lang w:val="en-US" w:eastAsia="zh-CN" w:bidi="ar-SA"/>
        </w:rPr>
        <w:t>%。全年实现营业收入</w:t>
      </w:r>
      <w:r>
        <w:rPr>
          <w:rFonts w:hint="default" w:ascii="Times New Roman" w:hAnsi="Times New Roman" w:eastAsia="仿宋_GB2312" w:cs="Times New Roman"/>
          <w:color w:val="0C0C0C"/>
          <w:sz w:val="32"/>
          <w:szCs w:val="32"/>
          <w:u w:val="none"/>
          <w:lang w:val="en-US" w:eastAsia="zh-CN"/>
        </w:rPr>
        <w:t>6.21</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207.4</w:t>
      </w:r>
      <w:r>
        <w:rPr>
          <w:rFonts w:hint="default" w:ascii="Times New Roman" w:hAnsi="Times New Roman" w:eastAsia="仿宋_GB2312" w:cs="Times New Roman"/>
          <w:color w:val="0C0C0C"/>
          <w:spacing w:val="-6"/>
          <w:kern w:val="2"/>
          <w:sz w:val="32"/>
          <w:szCs w:val="32"/>
          <w:u w:val="none"/>
          <w:lang w:val="en-US" w:eastAsia="zh-CN" w:bidi="ar-SA"/>
        </w:rPr>
        <w:t>%（详见表5-4）。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表5-</w:t>
      </w:r>
      <w:r>
        <w:rPr>
          <w:rFonts w:hint="default" w:ascii="Times New Roman" w:hAnsi="Times New Roman" w:cs="Times New Roman"/>
          <w:b/>
          <w:i w:val="0"/>
          <w:caps w:val="0"/>
          <w:color w:val="0C0C0C"/>
          <w:spacing w:val="0"/>
          <w:kern w:val="0"/>
          <w:sz w:val="24"/>
          <w:szCs w:val="24"/>
          <w:highlight w:val="none"/>
          <w:lang w:val="en-US" w:eastAsia="zh-CN" w:bidi="ar"/>
        </w:rPr>
        <w:t>4</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企业法人单位主要经济指标</w:t>
      </w:r>
    </w:p>
    <w:tbl>
      <w:tblPr>
        <w:tblStyle w:val="7"/>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95"/>
        <w:gridCol w:w="1504"/>
        <w:gridCol w:w="1472"/>
        <w:gridCol w:w="14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2" w:hRule="atLeast"/>
          <w:jc w:val="center"/>
        </w:trPr>
        <w:tc>
          <w:tcPr>
            <w:tcW w:w="247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9.27 </w:t>
            </w:r>
          </w:p>
        </w:tc>
        <w:tc>
          <w:tcPr>
            <w:tcW w:w="144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7.65 </w:t>
            </w:r>
          </w:p>
        </w:tc>
        <w:tc>
          <w:tcPr>
            <w:tcW w:w="147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6.21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1.99 </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 </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4.76 </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3.56 </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2.66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2.52 </w:t>
            </w:r>
          </w:p>
        </w:tc>
        <w:tc>
          <w:tcPr>
            <w:tcW w:w="144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2.32 </w:t>
            </w:r>
          </w:p>
        </w:tc>
        <w:tc>
          <w:tcPr>
            <w:tcW w:w="147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0C0C0C"/>
                <w:kern w:val="2"/>
                <w:sz w:val="22"/>
                <w:szCs w:val="22"/>
                <w:highlight w:val="none"/>
                <w:lang w:val="en"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2.26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四、教育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楷体_GB2312" w:cs="Times New Roman"/>
          <w:b/>
          <w:bCs/>
          <w:i w:val="0"/>
          <w:caps w:val="0"/>
          <w:color w:val="0C0C0C"/>
          <w:spacing w:val="0"/>
          <w:kern w:val="0"/>
          <w:sz w:val="32"/>
          <w:szCs w:val="32"/>
          <w:highlight w:val="none"/>
          <w:lang w:val="en-US" w:eastAsia="zh-CN"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b/>
          <w:bCs/>
          <w:i w:val="0"/>
          <w:caps w:val="0"/>
          <w:color w:val="0C0C0C"/>
          <w:spacing w:val="0"/>
          <w:kern w:val="0"/>
          <w:sz w:val="32"/>
          <w:szCs w:val="32"/>
          <w:highlight w:val="none"/>
          <w:lang w:val="en-US" w:eastAsia="zh-CN" w:bidi="ar"/>
        </w:rPr>
        <w:t>（一）法人单位数和从业人员</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center"/>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2023年末，伊犁州直共有教育法人单位</w:t>
      </w:r>
      <w:r>
        <w:rPr>
          <w:rFonts w:hint="default" w:ascii="Times New Roman" w:hAnsi="Times New Roman" w:eastAsia="仿宋_GB2312" w:cs="Times New Roman"/>
          <w:color w:val="0C0C0C"/>
          <w:sz w:val="32"/>
          <w:szCs w:val="32"/>
          <w:u w:val="none"/>
          <w:lang w:val="en-US" w:eastAsia="zh-CN"/>
        </w:rPr>
        <w:t>1194</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54179</w:t>
      </w:r>
      <w:r>
        <w:rPr>
          <w:rFonts w:hint="default" w:ascii="Times New Roman" w:hAnsi="Times New Roman" w:eastAsia="仿宋_GB2312" w:cs="Times New Roman"/>
          <w:color w:val="0C0C0C"/>
          <w:spacing w:val="-6"/>
          <w:kern w:val="2"/>
          <w:sz w:val="32"/>
          <w:szCs w:val="32"/>
          <w:u w:val="none"/>
          <w:lang w:val="en-US" w:eastAsia="zh-CN" w:bidi="ar-SA"/>
        </w:rPr>
        <w:t>人，分别比2018年末下降</w:t>
      </w:r>
      <w:r>
        <w:rPr>
          <w:rFonts w:hint="default" w:ascii="Times New Roman" w:hAnsi="Times New Roman" w:eastAsia="仿宋_GB2312" w:cs="Times New Roman"/>
          <w:color w:val="0C0C0C"/>
          <w:sz w:val="32"/>
          <w:szCs w:val="32"/>
          <w:u w:val="none"/>
          <w:lang w:val="en-US" w:eastAsia="zh-CN"/>
        </w:rPr>
        <w:t>13.0</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4.3</w:t>
      </w:r>
      <w:r>
        <w:rPr>
          <w:rFonts w:hint="default" w:ascii="Times New Roman" w:hAnsi="Times New Roman" w:eastAsia="仿宋_GB2312" w:cs="Times New Roman"/>
          <w:color w:val="0C0C0C"/>
          <w:spacing w:val="-6"/>
          <w:kern w:val="2"/>
          <w:sz w:val="32"/>
          <w:szCs w:val="32"/>
          <w:u w:val="none"/>
          <w:lang w:val="en-US" w:eastAsia="zh-CN" w:bidi="ar-SA"/>
        </w:rPr>
        <w:t>%。其中，行政事业及非企业法人单位</w:t>
      </w:r>
      <w:r>
        <w:rPr>
          <w:rFonts w:hint="default" w:ascii="Times New Roman" w:hAnsi="Times New Roman" w:eastAsia="仿宋_GB2312" w:cs="Times New Roman"/>
          <w:color w:val="0C0C0C"/>
          <w:sz w:val="32"/>
          <w:szCs w:val="32"/>
          <w:u w:val="none"/>
          <w:lang w:val="en-US" w:eastAsia="zh-CN"/>
        </w:rPr>
        <w:t>887</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51167</w:t>
      </w:r>
      <w:r>
        <w:rPr>
          <w:rFonts w:hint="default" w:ascii="Times New Roman" w:hAnsi="Times New Roman" w:eastAsia="仿宋_GB2312" w:cs="Times New Roman"/>
          <w:color w:val="0C0C0C"/>
          <w:spacing w:val="-6"/>
          <w:kern w:val="2"/>
          <w:sz w:val="32"/>
          <w:szCs w:val="32"/>
          <w:u w:val="none"/>
          <w:lang w:val="en-US" w:eastAsia="zh-CN" w:bidi="ar-SA"/>
        </w:rPr>
        <w:t>人，分别比2018年末下降17.3%和</w:t>
      </w:r>
      <w:r>
        <w:rPr>
          <w:rFonts w:hint="default" w:ascii="Times New Roman" w:hAnsi="Times New Roman" w:eastAsia="仿宋_GB2312" w:cs="Times New Roman"/>
          <w:color w:val="0C0C0C"/>
          <w:sz w:val="32"/>
          <w:szCs w:val="32"/>
          <w:u w:val="none"/>
          <w:lang w:val="en-US" w:eastAsia="zh-CN"/>
        </w:rPr>
        <w:t>2.2</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楷体_GB2312" w:cs="Times New Roman"/>
          <w:b/>
          <w:bCs/>
          <w:color w:val="0C0C0C"/>
          <w:sz w:val="32"/>
          <w:szCs w:val="32"/>
          <w:lang w:val="en-US" w:eastAsia="zh-CN"/>
        </w:rPr>
      </w:pPr>
      <w:r>
        <w:rPr>
          <w:rFonts w:hint="default" w:ascii="Times New Roman" w:hAnsi="Times New Roman" w:eastAsia="楷体_GB2312" w:cs="Times New Roman"/>
          <w:color w:val="0C0C0C"/>
          <w:spacing w:val="-6"/>
          <w:kern w:val="2"/>
          <w:sz w:val="32"/>
          <w:szCs w:val="32"/>
          <w:u w:val="none"/>
          <w:lang w:val="en-US" w:eastAsia="zh-CN" w:bidi="ar-SA"/>
        </w:rPr>
        <w:t xml:space="preserve">   </w:t>
      </w:r>
      <w:r>
        <w:rPr>
          <w:rFonts w:hint="default" w:ascii="Times New Roman" w:hAnsi="Times New Roman" w:eastAsia="楷体_GB2312" w:cs="Times New Roman"/>
          <w:b/>
          <w:bCs/>
          <w:color w:val="0C0C0C"/>
          <w:spacing w:val="-6"/>
          <w:kern w:val="2"/>
          <w:sz w:val="32"/>
          <w:szCs w:val="32"/>
          <w:u w:val="none"/>
          <w:lang w:val="en-US" w:eastAsia="zh-CN" w:bidi="ar-SA"/>
        </w:rPr>
        <w:t xml:space="preserve"> （二）主要经济指标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center"/>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cs="Times New Roman"/>
          <w:color w:val="0C0C0C"/>
          <w:spacing w:val="-6"/>
          <w:kern w:val="2"/>
          <w:sz w:val="32"/>
          <w:szCs w:val="32"/>
          <w:u w:val="none"/>
          <w:lang w:val="en-US" w:eastAsia="zh-CN" w:bidi="ar-SA"/>
        </w:rPr>
        <w:t xml:space="preserve">  </w:t>
      </w:r>
      <w:r>
        <w:rPr>
          <w:rFonts w:hint="default" w:ascii="Times New Roman" w:hAnsi="Times New Roman" w:eastAsia="仿宋_GB2312" w:cs="Times New Roman"/>
          <w:color w:val="0C0C0C"/>
          <w:spacing w:val="-6"/>
          <w:kern w:val="2"/>
          <w:sz w:val="32"/>
          <w:szCs w:val="32"/>
          <w:u w:val="none"/>
          <w:lang w:val="en-US" w:eastAsia="zh-CN" w:bidi="ar-SA"/>
        </w:rPr>
        <w:t xml:space="preserve">  2023年末，教育企业法人单位资产总计</w:t>
      </w:r>
      <w:r>
        <w:rPr>
          <w:rFonts w:hint="default" w:ascii="Times New Roman" w:hAnsi="Times New Roman" w:eastAsia="仿宋_GB2312" w:cs="Times New Roman"/>
          <w:color w:val="0C0C0C"/>
          <w:sz w:val="32"/>
          <w:szCs w:val="32"/>
          <w:u w:val="none"/>
          <w:lang w:val="en-US" w:eastAsia="zh-CN"/>
        </w:rPr>
        <w:t>16.85</w:t>
      </w:r>
      <w:r>
        <w:rPr>
          <w:rFonts w:hint="default" w:ascii="Times New Roman" w:hAnsi="Times New Roman" w:eastAsia="仿宋_GB2312" w:cs="Times New Roman"/>
          <w:color w:val="0C0C0C"/>
          <w:spacing w:val="-6"/>
          <w:kern w:val="2"/>
          <w:sz w:val="32"/>
          <w:szCs w:val="32"/>
          <w:u w:val="none"/>
          <w:lang w:val="en-US" w:eastAsia="zh-CN" w:bidi="ar-SA"/>
        </w:rPr>
        <w:t>亿元，比2018年末增长1</w:t>
      </w:r>
      <w:r>
        <w:rPr>
          <w:rFonts w:hint="default" w:ascii="Times New Roman" w:hAnsi="Times New Roman" w:eastAsia="仿宋_GB2312" w:cs="Times New Roman"/>
          <w:color w:val="0C0C0C"/>
          <w:sz w:val="32"/>
          <w:szCs w:val="32"/>
          <w:u w:val="none"/>
          <w:lang w:val="en-US" w:eastAsia="zh-CN"/>
        </w:rPr>
        <w:t>86.1</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6.54</w:t>
      </w:r>
      <w:r>
        <w:rPr>
          <w:rFonts w:hint="default" w:ascii="Times New Roman" w:hAnsi="Times New Roman" w:eastAsia="仿宋_GB2312" w:cs="Times New Roman"/>
          <w:color w:val="0C0C0C"/>
          <w:spacing w:val="-6"/>
          <w:kern w:val="2"/>
          <w:sz w:val="32"/>
          <w:szCs w:val="32"/>
          <w:u w:val="none"/>
          <w:lang w:val="en-US" w:eastAsia="zh-CN" w:bidi="ar-SA"/>
        </w:rPr>
        <w:t>亿元，比2018年末增长177.1%。全年实现营业收入14.3亿元，比2018年末增长431.6%。</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行政事业及非企业法人单位年末资产</w:t>
      </w:r>
      <w:r>
        <w:rPr>
          <w:rFonts w:hint="default" w:ascii="Times New Roman" w:hAnsi="Times New Roman" w:eastAsia="仿宋_GB2312" w:cs="Times New Roman"/>
          <w:color w:val="0C0C0C"/>
          <w:sz w:val="32"/>
          <w:szCs w:val="32"/>
          <w:u w:val="none"/>
          <w:lang w:val="en-US" w:eastAsia="zh-CN"/>
        </w:rPr>
        <w:t>119.11</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13.3</w:t>
      </w:r>
      <w:r>
        <w:rPr>
          <w:rFonts w:hint="default" w:ascii="Times New Roman" w:hAnsi="Times New Roman" w:eastAsia="仿宋_GB2312" w:cs="Times New Roman"/>
          <w:color w:val="0C0C0C"/>
          <w:spacing w:val="-6"/>
          <w:kern w:val="2"/>
          <w:sz w:val="32"/>
          <w:szCs w:val="32"/>
          <w:u w:val="none"/>
          <w:lang w:val="en-US" w:eastAsia="zh-CN" w:bidi="ar-SA"/>
        </w:rPr>
        <w:t>%。本年支出（费用）合计</w:t>
      </w:r>
      <w:r>
        <w:rPr>
          <w:rFonts w:hint="default" w:ascii="Times New Roman" w:hAnsi="Times New Roman" w:eastAsia="仿宋_GB2312" w:cs="Times New Roman"/>
          <w:color w:val="0C0C0C"/>
          <w:sz w:val="32"/>
          <w:szCs w:val="32"/>
          <w:u w:val="none"/>
          <w:lang w:val="en-US" w:eastAsia="zh-CN"/>
        </w:rPr>
        <w:t>108.68</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auto"/>
          <w:sz w:val="32"/>
          <w:szCs w:val="32"/>
          <w:u w:val="none"/>
          <w:lang w:val="en-US" w:eastAsia="zh-CN"/>
        </w:rPr>
        <w:t>36.1</w:t>
      </w:r>
      <w:r>
        <w:rPr>
          <w:rFonts w:hint="default" w:ascii="Times New Roman" w:hAnsi="Times New Roman" w:eastAsia="仿宋_GB2312"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五、卫生和社会工作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b/>
          <w:bCs/>
          <w:i w:val="0"/>
          <w:caps w:val="0"/>
          <w:color w:val="0C0C0C"/>
          <w:spacing w:val="0"/>
          <w:kern w:val="0"/>
          <w:sz w:val="32"/>
          <w:szCs w:val="32"/>
          <w:highlight w:val="none"/>
          <w:lang w:val="en-US" w:eastAsia="zh-CN" w:bidi="ar"/>
        </w:rPr>
        <w:t>（一）法人单位数和从业人员</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b w:val="0"/>
          <w:bCs w:val="0"/>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2023年末，伊犁州直共有卫生和社会工作法人单位</w:t>
      </w:r>
      <w:r>
        <w:rPr>
          <w:rFonts w:hint="default" w:ascii="Times New Roman" w:hAnsi="Times New Roman" w:eastAsia="仿宋_GB2312" w:cs="Times New Roman"/>
          <w:color w:val="0C0C0C"/>
          <w:sz w:val="32"/>
          <w:szCs w:val="32"/>
          <w:u w:val="none"/>
          <w:lang w:val="en-US" w:eastAsia="zh-CN"/>
        </w:rPr>
        <w:t>444</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29113</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19.7</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24.7</w:t>
      </w:r>
      <w:r>
        <w:rPr>
          <w:rFonts w:hint="default" w:ascii="Times New Roman" w:hAnsi="Times New Roman" w:eastAsia="仿宋_GB2312" w:cs="Times New Roman"/>
          <w:color w:val="0C0C0C"/>
          <w:spacing w:val="-6"/>
          <w:kern w:val="2"/>
          <w:sz w:val="32"/>
          <w:szCs w:val="32"/>
          <w:u w:val="none"/>
          <w:lang w:val="en-US" w:eastAsia="zh-CN" w:bidi="ar-SA"/>
        </w:rPr>
        <w:t>%。其中，行政事业及非企业法人单位</w:t>
      </w:r>
      <w:r>
        <w:rPr>
          <w:rFonts w:hint="default" w:ascii="Times New Roman" w:hAnsi="Times New Roman" w:eastAsia="仿宋_GB2312" w:cs="Times New Roman"/>
          <w:color w:val="0C0C0C"/>
          <w:sz w:val="32"/>
          <w:szCs w:val="32"/>
          <w:u w:val="none"/>
          <w:lang w:val="en-US" w:eastAsia="zh-CN"/>
        </w:rPr>
        <w:t>331</w:t>
      </w:r>
      <w:r>
        <w:rPr>
          <w:rFonts w:hint="default" w:ascii="Times New Roman" w:hAnsi="Times New Roman" w:eastAsia="仿宋_GB2312" w:cs="Times New Roman"/>
          <w:color w:val="0C0C0C"/>
          <w:spacing w:val="-6"/>
          <w:kern w:val="2"/>
          <w:sz w:val="32"/>
          <w:szCs w:val="32"/>
          <w:u w:val="none"/>
          <w:lang w:val="en-US" w:eastAsia="zh-CN" w:bidi="ar-SA"/>
        </w:rPr>
        <w:t>个，比2018年末增长</w:t>
      </w:r>
      <w:r>
        <w:rPr>
          <w:rFonts w:hint="default" w:ascii="Times New Roman" w:hAnsi="Times New Roman" w:eastAsia="仿宋_GB2312" w:cs="Times New Roman"/>
          <w:color w:val="0C0C0C"/>
          <w:sz w:val="32"/>
          <w:szCs w:val="32"/>
          <w:u w:val="none"/>
          <w:lang w:val="en-US" w:eastAsia="zh-CN"/>
        </w:rPr>
        <w:t>6.4</w:t>
      </w:r>
      <w:r>
        <w:rPr>
          <w:rFonts w:hint="default" w:ascii="Times New Roman" w:hAnsi="Times New Roman" w:eastAsia="仿宋_GB2312" w:cs="Times New Roman"/>
          <w:color w:val="0C0C0C"/>
          <w:spacing w:val="-6"/>
          <w:kern w:val="2"/>
          <w:sz w:val="32"/>
          <w:szCs w:val="32"/>
          <w:u w:val="none"/>
          <w:lang w:val="en-US" w:eastAsia="zh-CN" w:bidi="ar-SA"/>
        </w:rPr>
        <w:t>%；从业人员</w:t>
      </w:r>
      <w:r>
        <w:rPr>
          <w:rFonts w:hint="default" w:ascii="Times New Roman" w:hAnsi="Times New Roman" w:eastAsia="仿宋_GB2312" w:cs="Times New Roman"/>
          <w:color w:val="0C0C0C"/>
          <w:sz w:val="32"/>
          <w:szCs w:val="32"/>
          <w:u w:val="none"/>
          <w:lang w:val="en-US" w:eastAsia="zh-CN"/>
        </w:rPr>
        <w:t>26678</w:t>
      </w:r>
      <w:r>
        <w:rPr>
          <w:rFonts w:hint="default" w:ascii="Times New Roman" w:hAnsi="Times New Roman" w:eastAsia="仿宋_GB2312" w:cs="Times New Roman"/>
          <w:color w:val="0C0C0C"/>
          <w:spacing w:val="-6"/>
          <w:kern w:val="2"/>
          <w:sz w:val="32"/>
          <w:szCs w:val="32"/>
          <w:u w:val="none"/>
          <w:lang w:val="en-US" w:eastAsia="zh-CN" w:bidi="ar-SA"/>
        </w:rPr>
        <w:t>人，增长</w:t>
      </w:r>
      <w:r>
        <w:rPr>
          <w:rFonts w:hint="default" w:ascii="Times New Roman" w:hAnsi="Times New Roman" w:eastAsia="仿宋_GB2312" w:cs="Times New Roman"/>
          <w:color w:val="0C0C0C"/>
          <w:sz w:val="32"/>
          <w:szCs w:val="32"/>
          <w:u w:val="none"/>
          <w:lang w:val="en-US" w:eastAsia="zh-CN"/>
        </w:rPr>
        <w:t>20.5</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kinsoku/>
        <w:wordWrap/>
        <w:overflowPunct/>
        <w:topLinePunct w:val="0"/>
        <w:autoSpaceDE/>
        <w:autoSpaceDN/>
        <w:bidi w:val="0"/>
        <w:spacing w:line="560" w:lineRule="exact"/>
        <w:ind w:firstLine="619" w:firstLineChars="200"/>
        <w:rPr>
          <w:rFonts w:hint="default" w:ascii="Times New Roman" w:hAnsi="Times New Roman" w:eastAsia="楷体_GB2312" w:cs="Times New Roman"/>
          <w:b/>
          <w:bCs/>
          <w:color w:val="0C0C0C"/>
          <w:sz w:val="32"/>
          <w:szCs w:val="32"/>
          <w:lang w:val="en-US" w:eastAsia="zh-CN"/>
        </w:rPr>
      </w:pPr>
      <w:r>
        <w:rPr>
          <w:rFonts w:hint="default" w:ascii="Times New Roman" w:hAnsi="Times New Roman" w:eastAsia="楷体_GB2312" w:cs="Times New Roman"/>
          <w:b/>
          <w:bCs/>
          <w:color w:val="0C0C0C"/>
          <w:spacing w:val="-6"/>
          <w:kern w:val="2"/>
          <w:sz w:val="32"/>
          <w:szCs w:val="32"/>
          <w:u w:val="none"/>
          <w:lang w:val="en-US" w:eastAsia="zh-CN" w:bidi="ar-SA"/>
        </w:rPr>
        <w:t>（二）主要经济指标</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2023年末，卫生和社会工作企业法人单位资产总计</w:t>
      </w:r>
      <w:r>
        <w:rPr>
          <w:rFonts w:hint="default" w:ascii="Times New Roman" w:hAnsi="Times New Roman" w:eastAsia="仿宋_GB2312" w:cs="Times New Roman"/>
          <w:color w:val="0C0C0C"/>
          <w:sz w:val="32"/>
          <w:szCs w:val="32"/>
          <w:u w:val="none"/>
          <w:lang w:val="en-US" w:eastAsia="zh-CN"/>
        </w:rPr>
        <w:t>12.93</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356.9</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4.17</w:t>
      </w:r>
      <w:r>
        <w:rPr>
          <w:rFonts w:hint="default" w:ascii="Times New Roman" w:hAnsi="Times New Roman" w:eastAsia="仿宋_GB2312" w:cs="Times New Roman"/>
          <w:color w:val="0C0C0C"/>
          <w:spacing w:val="-6"/>
          <w:kern w:val="2"/>
          <w:sz w:val="32"/>
          <w:szCs w:val="32"/>
          <w:u w:val="none"/>
          <w:lang w:val="en-US" w:eastAsia="zh-CN" w:bidi="ar-SA"/>
        </w:rPr>
        <w:t>亿元，比2018年末增长131.7%。全年实现营业收入</w:t>
      </w:r>
      <w:r>
        <w:rPr>
          <w:rFonts w:hint="default" w:ascii="Times New Roman" w:hAnsi="Times New Roman" w:eastAsia="仿宋_GB2312" w:cs="Times New Roman"/>
          <w:color w:val="0C0C0C"/>
          <w:sz w:val="32"/>
          <w:szCs w:val="32"/>
          <w:u w:val="none"/>
          <w:lang w:val="en-US" w:eastAsia="zh-CN"/>
        </w:rPr>
        <w:t>3.3</w:t>
      </w:r>
      <w:r>
        <w:rPr>
          <w:rFonts w:hint="default" w:ascii="Times New Roman" w:hAnsi="Times New Roman" w:eastAsia="仿宋_GB2312" w:cs="Times New Roman"/>
          <w:color w:val="0C0C0C"/>
          <w:spacing w:val="-6"/>
          <w:kern w:val="2"/>
          <w:sz w:val="32"/>
          <w:szCs w:val="32"/>
          <w:u w:val="none"/>
          <w:lang w:val="en-US" w:eastAsia="zh-CN" w:bidi="ar-SA"/>
        </w:rPr>
        <w:t>亿元，比2018年增长123.0%。</w:t>
      </w:r>
    </w:p>
    <w:p>
      <w:pPr>
        <w:pStyle w:val="5"/>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行政事业及非企业法人单位年末资产</w:t>
      </w:r>
      <w:r>
        <w:rPr>
          <w:rFonts w:hint="default" w:ascii="Times New Roman" w:hAnsi="Times New Roman" w:eastAsia="仿宋_GB2312" w:cs="Times New Roman"/>
          <w:color w:val="0C0C0C"/>
          <w:sz w:val="32"/>
          <w:szCs w:val="32"/>
          <w:u w:val="none"/>
          <w:lang w:val="en-US" w:eastAsia="zh-CN"/>
        </w:rPr>
        <w:t>109.2</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47.1</w:t>
      </w:r>
      <w:r>
        <w:rPr>
          <w:rFonts w:hint="default" w:ascii="Times New Roman" w:hAnsi="Times New Roman" w:eastAsia="仿宋_GB2312" w:cs="Times New Roman"/>
          <w:color w:val="0C0C0C"/>
          <w:spacing w:val="-6"/>
          <w:kern w:val="2"/>
          <w:sz w:val="32"/>
          <w:szCs w:val="32"/>
          <w:u w:val="none"/>
          <w:lang w:val="en-US" w:eastAsia="zh-CN" w:bidi="ar-SA"/>
        </w:rPr>
        <w:t>%。本年支出（费用）合计</w:t>
      </w:r>
      <w:r>
        <w:rPr>
          <w:rFonts w:hint="default" w:ascii="Times New Roman" w:hAnsi="Times New Roman" w:eastAsia="仿宋_GB2312" w:cs="Times New Roman"/>
          <w:color w:val="0C0C0C"/>
          <w:sz w:val="32"/>
          <w:szCs w:val="32"/>
          <w:u w:val="none"/>
          <w:lang w:val="en-US" w:eastAsia="zh-CN"/>
        </w:rPr>
        <w:t>75.5</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69.3</w:t>
      </w:r>
      <w:r>
        <w:rPr>
          <w:rFonts w:hint="default" w:ascii="Times New Roman" w:hAnsi="Times New Roman" w:eastAsia="仿宋_GB2312"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六、文化、体育和娱乐业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楷体_GB2312" w:cs="Times New Roman"/>
          <w:b/>
          <w:bCs/>
          <w:i w:val="0"/>
          <w:caps w:val="0"/>
          <w:color w:val="0C0C0C"/>
          <w:spacing w:val="0"/>
          <w:kern w:val="0"/>
          <w:sz w:val="32"/>
          <w:szCs w:val="32"/>
          <w:highlight w:val="none"/>
          <w:lang w:bidi="ar"/>
        </w:rPr>
      </w:pPr>
      <w:r>
        <w:rPr>
          <w:rFonts w:hint="default" w:ascii="Times New Roman" w:hAnsi="Times New Roman" w:eastAsia="楷体_GB2312" w:cs="Times New Roman"/>
          <w:b/>
          <w:bCs/>
          <w:i w:val="0"/>
          <w:caps w:val="0"/>
          <w:color w:val="0C0C0C"/>
          <w:spacing w:val="0"/>
          <w:kern w:val="0"/>
          <w:sz w:val="32"/>
          <w:szCs w:val="32"/>
          <w:highlight w:val="none"/>
          <w:lang w:val="en-US" w:eastAsia="zh-CN" w:bidi="ar"/>
        </w:rPr>
        <w:t>（一）法人单位数和从业人员</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2023年末，伊犁州直共有文化、体育和娱乐业法人单位</w:t>
      </w:r>
      <w:r>
        <w:rPr>
          <w:rFonts w:hint="default" w:ascii="Times New Roman" w:hAnsi="Times New Roman" w:eastAsia="仿宋_GB2312" w:cs="Times New Roman"/>
          <w:color w:val="auto"/>
          <w:sz w:val="32"/>
          <w:szCs w:val="32"/>
          <w:u w:val="none"/>
          <w:lang w:val="en-US" w:eastAsia="zh-CN"/>
        </w:rPr>
        <w:t>1076</w:t>
      </w:r>
      <w:r>
        <w:rPr>
          <w:rFonts w:hint="default" w:ascii="Times New Roman" w:hAnsi="Times New Roman" w:eastAsia="仿宋_GB2312" w:cs="Times New Roman"/>
          <w:color w:val="auto"/>
          <w:spacing w:val="-6"/>
          <w:kern w:val="2"/>
          <w:sz w:val="32"/>
          <w:szCs w:val="32"/>
          <w:u w:val="none"/>
          <w:lang w:val="en-US" w:eastAsia="zh-CN" w:bidi="ar-SA"/>
        </w:rPr>
        <w:t>个，从业人员</w:t>
      </w:r>
      <w:r>
        <w:rPr>
          <w:rFonts w:hint="default" w:ascii="Times New Roman" w:hAnsi="Times New Roman" w:eastAsia="仿宋_GB2312" w:cs="Times New Roman"/>
          <w:color w:val="auto"/>
          <w:sz w:val="32"/>
          <w:szCs w:val="32"/>
          <w:u w:val="none"/>
          <w:lang w:val="en-US" w:eastAsia="zh-CN"/>
        </w:rPr>
        <w:t>5020</w:t>
      </w:r>
      <w:r>
        <w:rPr>
          <w:rFonts w:hint="default" w:ascii="Times New Roman" w:hAnsi="Times New Roman" w:eastAsia="仿宋_GB2312" w:cs="Times New Roman"/>
          <w:color w:val="auto"/>
          <w:spacing w:val="-6"/>
          <w:kern w:val="2"/>
          <w:sz w:val="32"/>
          <w:szCs w:val="32"/>
          <w:u w:val="none"/>
          <w:lang w:val="en-US" w:eastAsia="zh-CN" w:bidi="ar-SA"/>
        </w:rPr>
        <w:t>人。其中，企业法人单位</w:t>
      </w:r>
      <w:r>
        <w:rPr>
          <w:rFonts w:hint="default" w:ascii="Times New Roman" w:hAnsi="Times New Roman" w:eastAsia="仿宋_GB2312" w:cs="Times New Roman"/>
          <w:color w:val="auto"/>
          <w:sz w:val="32"/>
          <w:szCs w:val="32"/>
          <w:u w:val="none"/>
          <w:lang w:val="en-US" w:eastAsia="zh-CN"/>
        </w:rPr>
        <w:t>925</w:t>
      </w:r>
      <w:r>
        <w:rPr>
          <w:rFonts w:hint="default" w:ascii="Times New Roman" w:hAnsi="Times New Roman" w:eastAsia="仿宋_GB2312" w:cs="Times New Roman"/>
          <w:color w:val="auto"/>
          <w:spacing w:val="-6"/>
          <w:kern w:val="2"/>
          <w:sz w:val="32"/>
          <w:szCs w:val="32"/>
          <w:u w:val="none"/>
          <w:lang w:val="en-US" w:eastAsia="zh-CN" w:bidi="ar-SA"/>
        </w:rPr>
        <w:t>个，从业人员</w:t>
      </w:r>
      <w:r>
        <w:rPr>
          <w:rFonts w:hint="default" w:ascii="Times New Roman" w:hAnsi="Times New Roman" w:eastAsia="仿宋_GB2312" w:cs="Times New Roman"/>
          <w:color w:val="auto"/>
          <w:sz w:val="32"/>
          <w:szCs w:val="32"/>
          <w:u w:val="none"/>
          <w:lang w:val="en-US" w:eastAsia="zh-CN"/>
        </w:rPr>
        <w:t>2898</w:t>
      </w:r>
      <w:r>
        <w:rPr>
          <w:rFonts w:hint="default" w:ascii="Times New Roman" w:hAnsi="Times New Roman" w:eastAsia="仿宋_GB2312" w:cs="Times New Roman"/>
          <w:color w:val="auto"/>
          <w:spacing w:val="-6"/>
          <w:kern w:val="2"/>
          <w:sz w:val="32"/>
          <w:szCs w:val="32"/>
          <w:u w:val="none"/>
          <w:lang w:val="en-US" w:eastAsia="zh-CN" w:bidi="ar-SA"/>
        </w:rPr>
        <w:t>人。</w:t>
      </w:r>
    </w:p>
    <w:p>
      <w:pPr>
        <w:keepNext w:val="0"/>
        <w:keepLines w:val="0"/>
        <w:pageBreakBefore w:val="0"/>
        <w:kinsoku/>
        <w:wordWrap/>
        <w:overflowPunct/>
        <w:topLinePunct w:val="0"/>
        <w:autoSpaceDE/>
        <w:autoSpaceDN/>
        <w:bidi w:val="0"/>
        <w:spacing w:line="560" w:lineRule="exact"/>
        <w:ind w:firstLine="619"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pacing w:val="-6"/>
          <w:kern w:val="2"/>
          <w:sz w:val="32"/>
          <w:szCs w:val="32"/>
          <w:u w:val="none"/>
          <w:lang w:val="en-US" w:eastAsia="zh-CN" w:bidi="ar-SA"/>
        </w:rPr>
        <w:t>（二）主要经济指标</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2023年末，文化、体育和娱乐业企业法人单位资产总计</w:t>
      </w:r>
      <w:r>
        <w:rPr>
          <w:rFonts w:hint="default" w:ascii="Times New Roman" w:hAnsi="Times New Roman" w:eastAsia="仿宋_GB2312" w:cs="Times New Roman"/>
          <w:color w:val="auto"/>
          <w:sz w:val="32"/>
          <w:szCs w:val="32"/>
          <w:u w:val="none"/>
          <w:lang w:val="en-US" w:eastAsia="zh-CN"/>
        </w:rPr>
        <w:t>407.4</w:t>
      </w:r>
      <w:r>
        <w:rPr>
          <w:rFonts w:hint="default" w:ascii="Times New Roman" w:hAnsi="Times New Roman" w:eastAsia="仿宋_GB2312" w:cs="Times New Roman"/>
          <w:color w:val="auto"/>
          <w:spacing w:val="-6"/>
          <w:kern w:val="2"/>
          <w:sz w:val="32"/>
          <w:szCs w:val="32"/>
          <w:u w:val="none"/>
          <w:lang w:val="en-US" w:eastAsia="zh-CN" w:bidi="ar-SA"/>
        </w:rPr>
        <w:t>亿元；负债合计</w:t>
      </w:r>
      <w:r>
        <w:rPr>
          <w:rFonts w:hint="default" w:ascii="Times New Roman" w:hAnsi="Times New Roman" w:eastAsia="仿宋_GB2312" w:cs="Times New Roman"/>
          <w:color w:val="auto"/>
          <w:sz w:val="32"/>
          <w:szCs w:val="32"/>
          <w:u w:val="none"/>
          <w:lang w:val="en-US" w:eastAsia="zh-CN"/>
        </w:rPr>
        <w:t>257.04</w:t>
      </w:r>
      <w:r>
        <w:rPr>
          <w:rFonts w:hint="default" w:ascii="Times New Roman" w:hAnsi="Times New Roman" w:eastAsia="仿宋_GB2312" w:cs="Times New Roman"/>
          <w:color w:val="auto"/>
          <w:spacing w:val="-6"/>
          <w:kern w:val="2"/>
          <w:sz w:val="32"/>
          <w:szCs w:val="32"/>
          <w:u w:val="none"/>
          <w:lang w:val="en-US" w:eastAsia="zh-CN" w:bidi="ar-SA"/>
        </w:rPr>
        <w:t>亿元；全年实现营业收入</w:t>
      </w:r>
      <w:r>
        <w:rPr>
          <w:rFonts w:hint="default" w:ascii="Times New Roman" w:hAnsi="Times New Roman" w:eastAsia="仿宋_GB2312" w:cs="Times New Roman"/>
          <w:color w:val="auto"/>
          <w:sz w:val="32"/>
          <w:szCs w:val="32"/>
          <w:u w:val="none"/>
          <w:lang w:val="en-US" w:eastAsia="zh-CN"/>
        </w:rPr>
        <w:t>76.85</w:t>
      </w:r>
      <w:r>
        <w:rPr>
          <w:rFonts w:hint="default" w:ascii="Times New Roman" w:hAnsi="Times New Roman" w:eastAsia="仿宋_GB2312" w:cs="Times New Roman"/>
          <w:color w:val="auto"/>
          <w:spacing w:val="-6"/>
          <w:kern w:val="2"/>
          <w:sz w:val="32"/>
          <w:szCs w:val="32"/>
          <w:u w:val="none"/>
          <w:lang w:val="en-US" w:eastAsia="zh-CN" w:bidi="ar-SA"/>
        </w:rPr>
        <w:t>亿元。</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行政事业及非企业法人单位年末资产</w:t>
      </w:r>
      <w:r>
        <w:rPr>
          <w:rFonts w:hint="default" w:ascii="Times New Roman" w:hAnsi="Times New Roman" w:eastAsia="仿宋_GB2312" w:cs="Times New Roman"/>
          <w:color w:val="auto"/>
          <w:sz w:val="32"/>
          <w:szCs w:val="32"/>
          <w:u w:val="none"/>
          <w:lang w:val="en-US" w:eastAsia="zh-CN"/>
        </w:rPr>
        <w:t>5.4</w:t>
      </w:r>
      <w:r>
        <w:rPr>
          <w:rFonts w:hint="default" w:ascii="Times New Roman" w:hAnsi="Times New Roman" w:eastAsia="仿宋_GB2312" w:cs="Times New Roman"/>
          <w:color w:val="auto"/>
          <w:spacing w:val="-6"/>
          <w:kern w:val="2"/>
          <w:sz w:val="32"/>
          <w:szCs w:val="32"/>
          <w:u w:val="none"/>
          <w:lang w:val="en-US" w:eastAsia="zh-CN" w:bidi="ar-SA"/>
        </w:rPr>
        <w:t>亿元，比2018年末增长0.2%。本年支出（费用）合计</w:t>
      </w:r>
      <w:r>
        <w:rPr>
          <w:rFonts w:hint="default" w:ascii="Times New Roman" w:hAnsi="Times New Roman" w:eastAsia="仿宋_GB2312" w:cs="Times New Roman"/>
          <w:color w:val="auto"/>
          <w:sz w:val="32"/>
          <w:szCs w:val="32"/>
          <w:u w:val="none"/>
          <w:lang w:val="en-US" w:eastAsia="zh-CN"/>
        </w:rPr>
        <w:t>3.6</w:t>
      </w:r>
      <w:r>
        <w:rPr>
          <w:rFonts w:hint="default" w:ascii="Times New Roman" w:hAnsi="Times New Roman" w:eastAsia="仿宋_GB2312" w:cs="Times New Roman"/>
          <w:color w:val="auto"/>
          <w:spacing w:val="-6"/>
          <w:kern w:val="2"/>
          <w:sz w:val="32"/>
          <w:szCs w:val="32"/>
          <w:u w:val="none"/>
          <w:lang w:val="en-US" w:eastAsia="zh-CN" w:bidi="ar-SA"/>
        </w:rPr>
        <w:t>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七、公共管理、社会保障和社会组织</w:t>
      </w:r>
    </w:p>
    <w:p>
      <w:pPr>
        <w:pStyle w:val="5"/>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仿宋_GB2312" w:cs="Times New Roman"/>
          <w:color w:val="FF0000"/>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2023年末，伊犁州直共有公共管理、社会保障和社会组织法人单位3521个，比2018年末增长27.6%；从业人员83824人，下降4.0%。行政事业及非企业法人单位本年支出（费用）合</w:t>
      </w:r>
      <w:r>
        <w:rPr>
          <w:rFonts w:hint="default" w:ascii="Times New Roman" w:hAnsi="Times New Roman" w:eastAsia="仿宋_GB2312" w:cs="Times New Roman"/>
          <w:color w:val="auto"/>
          <w:spacing w:val="-6"/>
          <w:kern w:val="2"/>
          <w:sz w:val="32"/>
          <w:szCs w:val="32"/>
          <w:u w:val="none"/>
          <w:lang w:val="en-US" w:eastAsia="zh-CN" w:bidi="ar-SA"/>
        </w:rPr>
        <w:t>计518.0</w:t>
      </w:r>
      <w:r>
        <w:rPr>
          <w:rFonts w:hint="default" w:ascii="Times New Roman" w:hAnsi="Times New Roman" w:eastAsia="仿宋_GB2312" w:cs="Times New Roman"/>
          <w:color w:val="0C0C0C"/>
          <w:spacing w:val="-6"/>
          <w:kern w:val="2"/>
          <w:sz w:val="32"/>
          <w:szCs w:val="32"/>
          <w:u w:val="none"/>
          <w:lang w:val="en-US" w:eastAsia="zh-CN" w:bidi="ar-SA"/>
        </w:rPr>
        <w:t>亿元，</w:t>
      </w:r>
      <w:r>
        <w:rPr>
          <w:rFonts w:hint="default" w:ascii="Times New Roman" w:hAnsi="Times New Roman" w:eastAsia="仿宋_GB2312" w:cs="Times New Roman"/>
          <w:color w:val="auto"/>
          <w:spacing w:val="-6"/>
          <w:kern w:val="2"/>
          <w:sz w:val="32"/>
          <w:szCs w:val="32"/>
          <w:u w:val="none"/>
          <w:lang w:val="en-US" w:eastAsia="zh-CN" w:bidi="ar-SA"/>
        </w:rPr>
        <w:t>比2018年末增加300.92亿元，增长138.6%。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Fonts w:hint="default" w:ascii="Times New Roman" w:hAnsi="Times New Roman" w:eastAsia="仿宋_GB2312" w:cs="Times New Roman"/>
          <w:b/>
          <w:bCs w:val="0"/>
          <w:i w:val="0"/>
          <w:caps w:val="0"/>
          <w:color w:val="0C0C0C"/>
          <w:spacing w:val="0"/>
          <w:sz w:val="28"/>
          <w:szCs w:val="28"/>
          <w:highlight w:val="none"/>
        </w:rPr>
      </w:pPr>
      <w:r>
        <w:rPr>
          <w:rFonts w:hint="default" w:ascii="Times New Roman" w:hAnsi="Times New Roman" w:eastAsia="仿宋_GB2312" w:cs="Times New Roman"/>
          <w:b/>
          <w:bCs w:val="0"/>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560" w:firstLineChars="200"/>
        <w:jc w:val="both"/>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[2]表中的合计数和部分计算数据因小数取舍而产生的误差，均未作机械调整。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[3]不含兵团数据。</w:t>
      </w:r>
    </w:p>
    <w:p>
      <w:bookmarkStart w:id="0" w:name="_GoBack"/>
      <w:bookmarkEnd w:id="0"/>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napToGrid w:val="0"/>
        <w:spacing w:line="240" w:lineRule="auto"/>
        <w:ind w:firstLine="0" w:firstLineChars="0"/>
        <w:jc w:val="both"/>
        <w:textAlignment w:val="auto"/>
        <w:rPr>
          <w:rStyle w:val="9"/>
          <w:rFonts w:hint="eastAsia" w:eastAsia="宋体" w:cs="Times New Roman"/>
          <w:szCs w:val="18"/>
          <w:vertAlign w:val="superscript"/>
          <w:lang w:val="en-US" w:eastAsia="zh-CN"/>
        </w:rPr>
      </w:pPr>
      <w:r>
        <w:rPr>
          <w:rStyle w:val="9"/>
          <w:rFonts w:hint="eastAsia" w:ascii="Calibri" w:hAnsi="Calibri" w:eastAsia="宋体" w:cs="Times New Roman"/>
          <w:vertAlign w:val="superscript"/>
          <w:lang w:val="en-US" w:eastAsia="zh-CN"/>
        </w:rPr>
        <w:footnoteRef/>
      </w:r>
      <w:r>
        <w:rPr>
          <w:rStyle w:val="9"/>
          <w:rFonts w:hint="eastAsia" w:ascii="Calibri" w:hAnsi="Calibri" w:eastAsia="宋体" w:cs="Times New Roman"/>
          <w:vertAlign w:val="superscript"/>
          <w:lang w:val="en-US" w:eastAsia="zh-CN"/>
        </w:rPr>
        <w:t xml:space="preserve"> </w:t>
      </w:r>
      <w:r>
        <w:rPr>
          <w:rStyle w:val="9"/>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7AAF3"/>
    <w:multiLevelType w:val="singleLevel"/>
    <w:tmpl w:val="7017AAF3"/>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D19ED"/>
    <w:rsid w:val="16DD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List Number 5"/>
    <w:basedOn w:val="1"/>
    <w:next w:val="4"/>
    <w:uiPriority w:val="0"/>
    <w:pPr>
      <w:numPr>
        <w:ilvl w:val="0"/>
        <w:numId w:val="1"/>
      </w:numPr>
    </w:pPr>
  </w:style>
  <w:style w:type="paragraph" w:styleId="5">
    <w:name w:val="Normal Indent"/>
    <w:basedOn w:val="1"/>
    <w:next w:val="1"/>
    <w:qFormat/>
    <w:uiPriority w:val="0"/>
  </w:style>
  <w:style w:type="paragraph" w:styleId="6">
    <w:name w:val="footnote text"/>
    <w:basedOn w:val="1"/>
    <w:unhideWhenUsed/>
    <w:qFormat/>
    <w:uiPriority w:val="99"/>
    <w:pPr>
      <w:snapToGrid w:val="0"/>
      <w:jc w:val="left"/>
    </w:pPr>
    <w:rPr>
      <w:sz w:val="18"/>
    </w:rPr>
  </w:style>
  <w:style w:type="character" w:styleId="9">
    <w:name w:val="footnote reference"/>
    <w:basedOn w:val="8"/>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2025-06-25T03:43:00Z</dcterms:created>
  <dc:creator>Administrator</dc:creator>
  <cp:lastModifiedBy>Administrator</cp:lastModifiedBy>
  <dcterms:modified xsi:type="dcterms:W3CDTF">2025-06-25T03:43:36Z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90BD0B45FE8A4B44B8F26EA41E6D2362</vt:lpwstr>
  </property>
</Properties>
</file>