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伊犁哈萨克自治州第五次全国经济普查公报（第三号）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C0C0C"/>
          <w:spacing w:val="0"/>
          <w:kern w:val="0"/>
          <w:sz w:val="44"/>
          <w:szCs w:val="44"/>
          <w:highlight w:val="none"/>
          <w:lang w:val="en-US" w:eastAsia="zh-CN" w:bidi="ar"/>
        </w:rPr>
        <w:t>第二产业基本情况</w:t>
      </w:r>
    </w:p>
    <w:p>
      <w:pPr>
        <w:widowControl/>
        <w:spacing w:line="375" w:lineRule="atLeast"/>
        <w:jc w:val="center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333333"/>
          <w:kern w:val="0"/>
          <w:sz w:val="32"/>
          <w:szCs w:val="32"/>
        </w:rPr>
        <w:t>伊犁哈萨克自治州统计局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伊犁州第五次全国经济普查领导小组办公室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（2025年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both"/>
        <w:textAlignment w:val="center"/>
        <w:rPr>
          <w:rFonts w:hint="default" w:ascii="Times New Roman" w:hAnsi="Times New Roman" w:eastAsia="方正仿宋_GBK" w:cs="Times New Roman"/>
          <w:color w:val="0C0C0C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根据伊犁州第五次全国经济普查结果，现将伊犁州直第二产业（包括工业和建筑业）主要数据公布如下：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黑体" w:cs="Times New Roman"/>
          <w:color w:val="0C0C0C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0C0C0C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C0C0C"/>
          <w:sz w:val="32"/>
          <w:szCs w:val="32"/>
          <w:u w:val="none"/>
          <w:lang w:eastAsia="zh-CN"/>
        </w:rPr>
        <w:t>一、工业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center"/>
        <w:rPr>
          <w:rFonts w:hint="default" w:ascii="Times New Roman" w:hAnsi="Times New Roman" w:cs="Times New Roman"/>
          <w:color w:val="0C0C0C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2023年末，伊犁州直共有工业企业法人单位1856个，比2018年末增长19.2%；从业人员60457人，比2018年末增长0.4%。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在工业企业法人单位中，采矿业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个，制造业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1623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个，电力、热力、燃气及水生产和供应业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137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个，分别占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87.4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7.4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非金属矿物制品业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农副食品加工业、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金属制品业企业法人单位数位居前三位，分别占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19.4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11.0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在工业企业法人单位从业人员中，采矿业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4848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人，制造业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45304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人，电力、热力、燃气及水生产和供应业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10305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人，分别占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8.0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74.9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17.1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非金属矿物制品业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纺织业、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电力、热力生产和供应业人员数位居前三位，分别占13.8%、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11.7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按行业大类分组的工业企业法人单位数和从业人员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8"/>
        <w:gridCol w:w="1707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3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5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废弃资源综合利用业　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2023年末，工业企业法人单位资产总计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1663.64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亿元，比2018年末下降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1025.25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亿元，比2018年末下降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25.2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2023年，工业企业法人单位全年实现营业收入</w:t>
      </w: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787.69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80.6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按行业大类分组的工业企业法人单位主要经济指标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4"/>
        <w:gridCol w:w="1201"/>
        <w:gridCol w:w="1154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0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65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6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1663.64 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1025.25 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175.22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129.53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9.08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66.89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50.91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15.35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10.87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60.72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58.54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24.66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130.32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96.91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60.83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11.38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废弃资源综合利用业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497.49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273.58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300.16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212.59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29.18 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18.34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4.36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（三）主要工业产品产量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FF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" w:eastAsia="zh-CN" w:bidi="ar-SA"/>
        </w:rPr>
        <w:t>2023年，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规模以上工业主要产品产量（详见表3-3）。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规模以上工业主要产品产量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0"/>
        <w:gridCol w:w="1726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纱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布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成品糖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乳制品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饮料酒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万千升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化学药品原药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粗钢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钢材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十种有色金属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水泥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硫酸（折100%）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微型计算机设备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（四）主要能源产品产量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color w:val="0000FF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2023年，主要能源产品产量（详见表3-4）。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主要能源产品产量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0"/>
        <w:gridCol w:w="1726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原煤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  <w:t>2865.70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6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煤制天然气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亿立方米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  <w:t>35.23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  <w:t>210.31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22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 w:eastAsia="zh-CN"/>
              </w:rPr>
              <w:t>火力发电量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  <w:t>116.80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22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 w:eastAsia="zh-CN"/>
              </w:rPr>
              <w:t>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-US" w:eastAsia="zh-CN" w:bidi="ar-SA"/>
              </w:rPr>
              <w:t>84.30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22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风</w:t>
            </w: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 w:eastAsia="zh-CN"/>
              </w:rPr>
              <w:t>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 w:eastAsia="zh-CN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6" w:rightChars="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太阳能发电量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eastAsia="zh-CN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113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 w:eastAsia="zh-CN"/>
              </w:rPr>
              <w:t>6.83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二、建筑业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2023年末，伊犁州直共有建筑业企业法人单位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1319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130.6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%；从业人员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19568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52.6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建筑业企业法人单位中，房屋建筑业占19.9%，土木工程建筑业占25.9%，建筑安装业占13.6%，建筑装饰、装修和其他建筑业占40.6%。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建筑业企业法人单位从业人员中，房屋建筑业占50.7%，土木工程建筑业占30.4%，建筑安装业占6.0%，建筑装饰、装修和其他建筑业占12.9%（详见表3-5）。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按行业大类分组的建筑业企业法人单位数和从业人员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8"/>
        <w:gridCol w:w="2667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2023年末，建筑业企业法人单位资产总计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508.29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165.2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406.60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276.7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2023年，建筑业企业法人单位全年实现营业收入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317.23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亿元，比2018年增长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215.8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按行业大类分组的建筑业企业法人单位主要经济指标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1884"/>
        <w:gridCol w:w="1884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0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508.29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406.60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290.52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244.04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188.16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139.61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19.19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17.54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12.79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[1]规模以上工业：是指年主营业务收入2000万元及以上的工业法人单位。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[2]表中的合计数和部分计算数据因小数取舍而产生的误差，均未作机械调整。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[3]表中符号“—”表示没有数据或数据过小。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[4]不含兵团数据。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3772A"/>
    <w:multiLevelType w:val="singleLevel"/>
    <w:tmpl w:val="9DF3772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713A"/>
    <w:rsid w:val="114D713A"/>
    <w:rsid w:val="78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 w:val="21"/>
      <w:szCs w:val="21"/>
    </w:rPr>
  </w:style>
  <w:style w:type="paragraph" w:styleId="3">
    <w:name w:val="List Number 5"/>
    <w:basedOn w:val="1"/>
    <w:next w:val="4"/>
    <w:uiPriority w:val="0"/>
    <w:pPr>
      <w:numPr>
        <w:ilvl w:val="0"/>
        <w:numId w:val="1"/>
      </w:numPr>
    </w:pPr>
  </w:style>
  <w:style w:type="paragraph" w:styleId="5">
    <w:name w:val="Normal Indent"/>
    <w:basedOn w:val="1"/>
    <w:next w:val="1"/>
    <w:qFormat/>
    <w:uiPriority w:val="0"/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8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9">
    <w:name w:val="Body Text First Indent"/>
    <w:basedOn w:val="6"/>
    <w:next w:val="10"/>
    <w:unhideWhenUsed/>
    <w:qFormat/>
    <w:uiPriority w:val="99"/>
    <w:pPr>
      <w:autoSpaceDE/>
      <w:autoSpaceDN/>
      <w:spacing w:after="120"/>
      <w:ind w:left="0"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bidi="ar-SA"/>
    </w:rPr>
  </w:style>
  <w:style w:type="paragraph" w:styleId="10">
    <w:name w:val="Body Text First Indent 2"/>
    <w:basedOn w:val="8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2025-06-25T03:39:00Z</dcterms:created>
  <dc:creator>Administrator</dc:creator>
  <cp:lastModifiedBy>Administrator</cp:lastModifiedBy>
  <dcterms:modified xsi:type="dcterms:W3CDTF">2025-06-25T03:48:28Z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88B7168ACFE34D199C944FF712A507D8</vt:lpwstr>
  </property>
</Properties>
</file>