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A88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伊犁州</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交通运输局202</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5</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年度</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执法监督检查</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计划</w:t>
      </w:r>
    </w:p>
    <w:p w14:paraId="3BF2787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eastAsia="zh-CN"/>
        </w:rPr>
      </w:pPr>
    </w:p>
    <w:p w14:paraId="43107F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联合执法</w:t>
      </w:r>
    </w:p>
    <w:p w14:paraId="1F9FEF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hint="eastAsia" w:ascii="仿宋_GB2312" w:hAnsi="仿宋_GB2312" w:eastAsia="仿宋_GB2312" w:cs="仿宋_GB2312"/>
          <w:color w:val="000000" w:themeColor="text1"/>
          <w:sz w:val="32"/>
          <w:szCs w:val="32"/>
          <w14:textFill>
            <w14:solidFill>
              <w14:schemeClr w14:val="tx1"/>
            </w14:solidFill>
          </w14:textFill>
        </w:rPr>
        <w:t>照每月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交通运输领域联合执法工作领导小组</w:t>
      </w:r>
      <w:r>
        <w:rPr>
          <w:rFonts w:hint="eastAsia" w:ascii="仿宋_GB2312" w:hAnsi="仿宋_GB2312" w:eastAsia="仿宋_GB2312" w:cs="仿宋_GB2312"/>
          <w:color w:val="000000" w:themeColor="text1"/>
          <w:sz w:val="32"/>
          <w:szCs w:val="32"/>
          <w14:textFill>
            <w14:solidFill>
              <w14:schemeClr w14:val="tx1"/>
            </w14:solidFill>
          </w14:textFill>
        </w:rPr>
        <w:t>联席会议确定的联合执法时间、点位及执法事项，合理调配执法人员与执法车辆。每月开展联合执法行动不少于3次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在执法过程中，严格按照法定程序进行，确保执法公正、公平、公开。</w:t>
      </w:r>
    </w:p>
    <w:p w14:paraId="4F2589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5月至10月旅游高峰期，加大执法力量投入。</w:t>
      </w:r>
      <w:r>
        <w:rPr>
          <w:rFonts w:hint="eastAsia" w:ascii="仿宋_GB2312" w:hAnsi="仿宋_GB2312" w:eastAsia="仿宋_GB2312" w:cs="仿宋_GB2312"/>
          <w:sz w:val="32"/>
          <w:szCs w:val="32"/>
          <w:lang w:eastAsia="zh-CN"/>
        </w:rPr>
        <w:t>每周</w:t>
      </w:r>
      <w:r>
        <w:rPr>
          <w:rFonts w:hint="eastAsia" w:ascii="仿宋_GB2312" w:hAnsi="仿宋_GB2312" w:eastAsia="仿宋_GB2312" w:cs="仿宋_GB2312"/>
          <w:sz w:val="32"/>
          <w:szCs w:val="32"/>
        </w:rPr>
        <w:t>在旅游运输企业、景区（景点）、旅游集散中心、客运场站、高速公路服务区、果子沟、乔尔玛、那拉提进出河谷卡口等场所，加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对客运车辆监督检查</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加强对旅游客运市场服务质量监管，切实保障游客生命财产安全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维护游客合法权益。</w:t>
      </w:r>
    </w:p>
    <w:p w14:paraId="68C08D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联合执法期间，</w:t>
      </w:r>
      <w:r>
        <w:rPr>
          <w:rFonts w:hint="eastAsia" w:ascii="仿宋_GB2312" w:hAnsi="仿宋_GB2312" w:eastAsia="仿宋_GB2312" w:cs="仿宋_GB2312"/>
          <w:sz w:val="32"/>
          <w:szCs w:val="32"/>
          <w:lang w:eastAsia="zh-CN"/>
        </w:rPr>
        <w:t>每年至少</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深入辖区道路运输企业、货运源头单位开展走访、普法宣传等工作。通过组织座谈会、发放宣传资料等方式，向企业和从业人员宣传交通运输领域相关法律法规，提高其守法经营意识。</w:t>
      </w:r>
      <w:bookmarkStart w:id="0" w:name="_GoBack"/>
      <w:bookmarkEnd w:id="0"/>
      <w:r>
        <w:rPr>
          <w:rFonts w:hint="eastAsia" w:ascii="仿宋_GB2312" w:hAnsi="仿宋_GB2312" w:eastAsia="仿宋_GB2312" w:cs="仿宋_GB2312"/>
          <w:sz w:val="32"/>
          <w:szCs w:val="32"/>
        </w:rPr>
        <w:t>同时，了解企业在经营过程中遇到的问题与困难，为企业提供政策咨询与指导服务。</w:t>
      </w:r>
    </w:p>
    <w:p w14:paraId="357E56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二、综合检查</w:t>
      </w:r>
    </w:p>
    <w:p w14:paraId="47A302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color="auto" w:fill="FFFFFF"/>
        </w:rPr>
        <w:t>（一）“春节”“两会”期间安全生产监管（1月至3月）。</w:t>
      </w:r>
      <w:r>
        <w:rPr>
          <w:rFonts w:hint="eastAsia" w:ascii="仿宋_GB2312" w:hAnsi="仿宋_GB2312" w:eastAsia="仿宋_GB2312" w:cs="仿宋_GB2312"/>
          <w:i w:val="0"/>
          <w:iCs w:val="0"/>
          <w:caps w:val="0"/>
          <w:color w:val="auto"/>
          <w:spacing w:val="0"/>
          <w:sz w:val="32"/>
          <w:szCs w:val="32"/>
          <w:shd w:val="clear" w:color="auto" w:fill="FFFFFF"/>
        </w:rPr>
        <w:t>以春运、春节、“两会”期间返乡探亲、节后返岗、外出务工行业安全生产为重点，开展应对道路客货运量快速增加、大雾（霾）雨雪冰冻等恶劣天气下行业安全生产监督检查工作。 </w:t>
      </w:r>
    </w:p>
    <w:p w14:paraId="270B9F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color="auto" w:fill="FFFFFF"/>
        </w:rPr>
        <w:t>（二）“五一”“端午”期间安全生产监管（4月至6月）。</w:t>
      </w:r>
      <w:r>
        <w:rPr>
          <w:rFonts w:hint="eastAsia" w:ascii="仿宋_GB2312" w:hAnsi="仿宋_GB2312" w:eastAsia="仿宋_GB2312" w:cs="仿宋_GB2312"/>
          <w:i w:val="0"/>
          <w:iCs w:val="0"/>
          <w:caps w:val="0"/>
          <w:color w:val="auto"/>
          <w:spacing w:val="0"/>
          <w:sz w:val="32"/>
          <w:szCs w:val="32"/>
          <w:shd w:val="clear" w:color="auto" w:fill="FFFFFF"/>
        </w:rPr>
        <w:t>以“五一”“端午”期间行业安全生产为重点，开展应对节假日出行及旅游小高峰的行业安全生产监督检查工作。组织开展“安全生产月”活动检查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安排部署汛期行业安全生产工作</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对水运企业开展一次船舶下水前安全生产监督检查</w:t>
      </w:r>
      <w:r>
        <w:rPr>
          <w:rFonts w:hint="eastAsia" w:ascii="仿宋_GB2312" w:hAnsi="仿宋_GB2312" w:eastAsia="仿宋_GB2312" w:cs="仿宋_GB2312"/>
          <w:i w:val="0"/>
          <w:iCs w:val="0"/>
          <w:caps w:val="0"/>
          <w:color w:val="auto"/>
          <w:spacing w:val="0"/>
          <w:sz w:val="32"/>
          <w:szCs w:val="32"/>
          <w:shd w:val="clear" w:color="auto" w:fill="FFFFFF"/>
        </w:rPr>
        <w:t>。 </w:t>
      </w:r>
    </w:p>
    <w:p w14:paraId="4E8322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（三）夏季安全生产大检查（7月至8月）。</w:t>
      </w:r>
      <w:r>
        <w:rPr>
          <w:rFonts w:hint="eastAsia" w:ascii="仿宋_GB2312" w:hAnsi="仿宋_GB2312" w:eastAsia="仿宋_GB2312" w:cs="仿宋_GB2312"/>
          <w:i w:val="0"/>
          <w:iCs w:val="0"/>
          <w:caps w:val="0"/>
          <w:color w:val="auto"/>
          <w:spacing w:val="0"/>
          <w:sz w:val="32"/>
          <w:szCs w:val="32"/>
          <w:shd w:val="clear" w:color="auto" w:fill="FFFFFF"/>
        </w:rPr>
        <w:t>以高温、汛期、暑期学生返乡返校行业安全生产为重点，开展应对高温、汛期、暑期学生返乡返校道路运输安全生产监督检查。做好各行业领域夏季高温安全生产和消防安全</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检查，重点对道路危化品运输和旅游包车、班车客运</w:t>
      </w:r>
      <w:r>
        <w:rPr>
          <w:rFonts w:hint="eastAsia" w:ascii="仿宋_GB2312" w:hAnsi="仿宋_GB2312" w:eastAsia="仿宋_GB2312" w:cs="仿宋_GB2312"/>
          <w:i w:val="0"/>
          <w:iCs w:val="0"/>
          <w:caps w:val="0"/>
          <w:color w:val="auto"/>
          <w:spacing w:val="0"/>
          <w:sz w:val="32"/>
          <w:szCs w:val="32"/>
          <w:shd w:val="clear" w:color="auto" w:fill="FFFFFF"/>
          <w:lang w:eastAsia="zh-CN"/>
        </w:rPr>
        <w:t>、维修驾培行业、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船舶适航及水上交通、重点货运源头企业装载管理</w:t>
      </w:r>
      <w:r>
        <w:rPr>
          <w:rFonts w:hint="eastAsia" w:ascii="仿宋_GB2312" w:hAnsi="仿宋_GB2312" w:eastAsia="仿宋_GB2312" w:cs="仿宋_GB2312"/>
          <w:i w:val="0"/>
          <w:iCs w:val="0"/>
          <w:caps w:val="0"/>
          <w:color w:val="auto"/>
          <w:spacing w:val="0"/>
          <w:sz w:val="32"/>
          <w:szCs w:val="32"/>
          <w:shd w:val="clear" w:color="auto" w:fill="FFFFFF"/>
        </w:rPr>
        <w:t>等方面的安全检查。</w:t>
      </w:r>
    </w:p>
    <w:p w14:paraId="456899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（四）“中秋”“国庆”期间安全监管（9月至10月）。</w:t>
      </w:r>
      <w:r>
        <w:rPr>
          <w:rFonts w:hint="eastAsia" w:ascii="仿宋_GB2312" w:hAnsi="仿宋_GB2312" w:eastAsia="仿宋_GB2312" w:cs="仿宋_GB2312"/>
          <w:i w:val="0"/>
          <w:iCs w:val="0"/>
          <w:caps w:val="0"/>
          <w:color w:val="auto"/>
          <w:spacing w:val="0"/>
          <w:sz w:val="32"/>
          <w:szCs w:val="32"/>
          <w:shd w:val="clear" w:color="auto" w:fill="FFFFFF"/>
        </w:rPr>
        <w:t>以应对“中秋”“国庆”客流、人流、车流高峰以及农民工外出务工为重点，在节前开展本领域的安全生产督查检查。重点对旅游包车、班车客运、汽车客运站</w:t>
      </w:r>
      <w:r>
        <w:rPr>
          <w:rFonts w:hint="eastAsia" w:ascii="仿宋_GB2312" w:hAnsi="仿宋_GB2312" w:eastAsia="仿宋_GB2312" w:cs="仿宋_GB2312"/>
          <w:i w:val="0"/>
          <w:iCs w:val="0"/>
          <w:caps w:val="0"/>
          <w:color w:val="auto"/>
          <w:spacing w:val="0"/>
          <w:sz w:val="32"/>
          <w:szCs w:val="32"/>
          <w:shd w:val="clear" w:color="auto" w:fill="FFFFFF"/>
          <w:lang w:eastAsia="zh-CN"/>
        </w:rPr>
        <w:t>、维修驾培行业、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重点水域水上交通安全监管、车辆超限超载治理、路域环境整治</w:t>
      </w:r>
      <w:r>
        <w:rPr>
          <w:rFonts w:hint="eastAsia" w:ascii="仿宋_GB2312" w:hAnsi="仿宋_GB2312" w:eastAsia="仿宋_GB2312" w:cs="仿宋_GB2312"/>
          <w:i w:val="0"/>
          <w:iCs w:val="0"/>
          <w:caps w:val="0"/>
          <w:color w:val="auto"/>
          <w:spacing w:val="0"/>
          <w:sz w:val="32"/>
          <w:szCs w:val="32"/>
          <w:shd w:val="clear" w:color="auto" w:fill="FFFFFF"/>
        </w:rPr>
        <w:t>的安全生产监督检查。加强节日期间应急值守，保持信息畅通。 </w:t>
      </w:r>
    </w:p>
    <w:p w14:paraId="7D7F4B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rPr>
        <w:t>（五）岁末年初、“元旦”期间安全生产监管（11月至202</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6</w:t>
      </w:r>
      <w:r>
        <w:rPr>
          <w:rFonts w:hint="eastAsia" w:ascii="楷体_GB2312" w:hAnsi="楷体_GB2312" w:eastAsia="楷体_GB2312" w:cs="楷体_GB2312"/>
          <w:b/>
          <w:bCs/>
          <w:i w:val="0"/>
          <w:iCs w:val="0"/>
          <w:caps w:val="0"/>
          <w:color w:val="auto"/>
          <w:spacing w:val="0"/>
          <w:sz w:val="32"/>
          <w:szCs w:val="32"/>
          <w:shd w:val="clear" w:color="auto" w:fill="FFFFFF"/>
        </w:rPr>
        <w:t>年元月）</w:t>
      </w:r>
      <w:r>
        <w:rPr>
          <w:rFonts w:hint="eastAsia" w:ascii="仿宋_GB2312" w:hAnsi="仿宋_GB2312" w:eastAsia="仿宋_GB2312" w:cs="仿宋_GB2312"/>
          <w:i w:val="0"/>
          <w:iCs w:val="0"/>
          <w:caps w:val="0"/>
          <w:color w:val="auto"/>
          <w:spacing w:val="0"/>
          <w:sz w:val="32"/>
          <w:szCs w:val="32"/>
          <w:shd w:val="clear" w:color="auto" w:fill="FFFFFF"/>
        </w:rPr>
        <w:t>。以岁末年初、“元旦”期间行业安全生产为重点，开展应对寒潮、雾霾、冰雪等天气和各类可能存在的“抢工期”的行业安全生产监督检查，确保道路运输系统安全生产。 </w:t>
      </w:r>
    </w:p>
    <w:tbl>
      <w:tblPr>
        <w:tblStyle w:val="8"/>
        <w:tblW w:w="93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426"/>
        <w:gridCol w:w="1455"/>
        <w:gridCol w:w="4764"/>
        <w:gridCol w:w="1228"/>
      </w:tblGrid>
      <w:tr w14:paraId="2D2D5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508"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0873F862">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序号</w:t>
            </w:r>
          </w:p>
        </w:tc>
        <w:tc>
          <w:tcPr>
            <w:tcW w:w="1426"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2AE5530E">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检查类型</w:t>
            </w:r>
          </w:p>
        </w:tc>
        <w:tc>
          <w:tcPr>
            <w:tcW w:w="1455"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09B53348">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时间</w:t>
            </w:r>
          </w:p>
        </w:tc>
        <w:tc>
          <w:tcPr>
            <w:tcW w:w="4764"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322A9E2C">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内容</w:t>
            </w:r>
          </w:p>
        </w:tc>
        <w:tc>
          <w:tcPr>
            <w:tcW w:w="1228"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7075A72D">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备注</w:t>
            </w:r>
          </w:p>
        </w:tc>
      </w:tr>
      <w:tr w14:paraId="4CB08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25C23F82">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06E74">
            <w:pPr>
              <w:pStyle w:val="7"/>
              <w:spacing w:before="0" w:beforeAutospacing="0" w:after="0" w:line="240" w:lineRule="exact"/>
              <w:ind w:left="0" w:leftChars="0" w:firstLine="0"/>
              <w:jc w:val="center"/>
              <w:rPr>
                <w:rFonts w:hint="eastAsia" w:ascii="Times New Roman" w:hAnsi="Times New Roman" w:eastAsia="仿宋" w:cs="Times New Roman"/>
                <w:kern w:val="0"/>
                <w:szCs w:val="21"/>
                <w:lang w:eastAsia="zh-CN"/>
              </w:rPr>
            </w:pPr>
            <w:r>
              <w:rPr>
                <w:rFonts w:hint="eastAsia" w:ascii="Times New Roman" w:hAnsi="Times New Roman" w:eastAsia="仿宋" w:cs="Times New Roman"/>
                <w:kern w:val="0"/>
                <w:szCs w:val="21"/>
                <w:lang w:eastAsia="zh-CN"/>
              </w:rPr>
              <w:t>“春节”“两会”期间安全生产监管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978A62">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2025年</w:t>
            </w:r>
            <w:r>
              <w:rPr>
                <w:rFonts w:hint="default" w:ascii="Times New Roman" w:hAnsi="Times New Roman" w:eastAsia="仿宋" w:cs="Times New Roman"/>
                <w:kern w:val="0"/>
                <w:szCs w:val="21"/>
                <w:lang w:val="en-US" w:eastAsia="zh-CN"/>
              </w:rPr>
              <w:t>1月至3月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BD9A3">
            <w:pPr>
              <w:pStyle w:val="7"/>
              <w:spacing w:before="0" w:beforeAutospacing="0" w:after="0" w:line="280" w:lineRule="exact"/>
              <w:ind w:left="0" w:leftChars="0"/>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以春运、春节、“两会”期间返乡探亲、节后返岗、外出务工行业安全生产为重点，开展应对道路客货运量快速增加、大雾（霾）雨雪冰冻等恶劣天气下行业安全生产监督检查工作</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AD5796C">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r>
      <w:tr w14:paraId="571D6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7C7FFCA0">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92CE2">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“五一”“端午”期间安全生产监管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E22AE2">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eastAsia" w:ascii="Times New Roman" w:hAnsi="Times New Roman" w:eastAsia="仿宋" w:cs="Times New Roman"/>
                <w:kern w:val="0"/>
                <w:szCs w:val="21"/>
                <w:lang w:val="en-US" w:eastAsia="zh-CN"/>
              </w:rPr>
              <w:t>2025年4</w:t>
            </w:r>
            <w:r>
              <w:rPr>
                <w:rFonts w:hint="default" w:ascii="Times New Roman" w:hAnsi="Times New Roman" w:eastAsia="仿宋" w:cs="Times New Roman"/>
                <w:kern w:val="0"/>
                <w:szCs w:val="21"/>
                <w:lang w:val="en-US" w:eastAsia="zh-CN"/>
              </w:rPr>
              <w:t>月至</w:t>
            </w:r>
            <w:r>
              <w:rPr>
                <w:rFonts w:hint="eastAsia" w:ascii="Times New Roman" w:hAnsi="Times New Roman" w:eastAsia="仿宋" w:cs="Times New Roman"/>
                <w:kern w:val="0"/>
                <w:szCs w:val="21"/>
                <w:lang w:val="en-US" w:eastAsia="zh-CN"/>
              </w:rPr>
              <w:t>6</w:t>
            </w:r>
            <w:r>
              <w:rPr>
                <w:rFonts w:hint="default" w:ascii="Times New Roman" w:hAnsi="Times New Roman" w:eastAsia="仿宋" w:cs="Times New Roman"/>
                <w:kern w:val="0"/>
                <w:szCs w:val="21"/>
                <w:lang w:val="en-US" w:eastAsia="zh-CN"/>
              </w:rPr>
              <w:t>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F0292">
            <w:pPr>
              <w:spacing w:line="280" w:lineRule="exact"/>
              <w:ind w:firstLine="400"/>
              <w:jc w:val="left"/>
              <w:rPr>
                <w:rFonts w:hint="default" w:ascii="Times New Roman" w:hAnsi="Times New Roman" w:eastAsia="仿宋" w:cs="Times New Roman"/>
                <w:kern w:val="0"/>
                <w:sz w:val="20"/>
                <w:szCs w:val="21"/>
              </w:rPr>
            </w:pPr>
            <w:r>
              <w:rPr>
                <w:rFonts w:hint="default" w:ascii="Times New Roman" w:hAnsi="Times New Roman" w:eastAsia="仿宋" w:cs="Times New Roman"/>
                <w:kern w:val="0"/>
                <w:sz w:val="20"/>
                <w:szCs w:val="21"/>
              </w:rPr>
              <w:t>以“五一”“端午”期间行业安全生产为重点，开展应对节假日出行及旅游小高峰的行业安全生产监督检查工作。组织开展“安全生产月”活动检查</w:t>
            </w:r>
            <w:r>
              <w:rPr>
                <w:rFonts w:hint="default" w:ascii="Times New Roman" w:hAnsi="Times New Roman" w:eastAsia="仿宋" w:cs="Times New Roman"/>
                <w:kern w:val="0"/>
                <w:sz w:val="20"/>
                <w:szCs w:val="21"/>
                <w:lang w:eastAsia="zh-CN"/>
              </w:rPr>
              <w:t>。</w:t>
            </w:r>
            <w:r>
              <w:rPr>
                <w:rFonts w:hint="default" w:ascii="Times New Roman" w:hAnsi="Times New Roman" w:eastAsia="仿宋" w:cs="Times New Roman"/>
                <w:kern w:val="0"/>
                <w:sz w:val="20"/>
                <w:szCs w:val="21"/>
              </w:rPr>
              <w:t>安排部署汛期行业安全生产工作</w:t>
            </w:r>
            <w:r>
              <w:rPr>
                <w:rFonts w:hint="default" w:ascii="Times New Roman" w:hAnsi="Times New Roman" w:eastAsia="仿宋" w:cs="Times New Roman"/>
                <w:kern w:val="0"/>
                <w:sz w:val="20"/>
                <w:szCs w:val="21"/>
                <w:lang w:eastAsia="zh-CN"/>
              </w:rPr>
              <w:t>，</w:t>
            </w:r>
            <w:r>
              <w:rPr>
                <w:rFonts w:hint="default" w:ascii="Times New Roman" w:hAnsi="Times New Roman" w:eastAsia="仿宋" w:cs="Times New Roman"/>
                <w:kern w:val="0"/>
                <w:sz w:val="20"/>
                <w:szCs w:val="21"/>
                <w:lang w:val="en-US" w:eastAsia="zh-CN"/>
              </w:rPr>
              <w:t>对水运企业开展一次船舶下水前安全生产监督检查</w:t>
            </w:r>
            <w:r>
              <w:rPr>
                <w:rFonts w:hint="default" w:ascii="Times New Roman" w:hAnsi="Times New Roman" w:eastAsia="仿宋" w:cs="Times New Roman"/>
                <w:kern w:val="0"/>
                <w:sz w:val="20"/>
                <w:szCs w:val="21"/>
              </w:rPr>
              <w:t>。</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7084E9D">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r>
      <w:tr w14:paraId="07827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567203C">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68AE1">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夏季安全生产大检查</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F1244">
            <w:pPr>
              <w:pStyle w:val="7"/>
              <w:spacing w:before="0" w:beforeAutospacing="0" w:after="0" w:line="240" w:lineRule="exact"/>
              <w:ind w:left="0" w:leftChars="0" w:firstLine="0"/>
              <w:jc w:val="center"/>
              <w:rPr>
                <w:rFonts w:hint="default" w:ascii="Times New Roman" w:hAnsi="Times New Roman" w:eastAsia="仿宋" w:cs="Times New Roman"/>
                <w:kern w:val="0"/>
                <w:szCs w:val="21"/>
                <w:lang w:eastAsia="zh-CN"/>
              </w:rPr>
            </w:pPr>
            <w:r>
              <w:rPr>
                <w:rFonts w:hint="eastAsia" w:ascii="Times New Roman" w:hAnsi="Times New Roman" w:eastAsia="仿宋" w:cs="Times New Roman"/>
                <w:kern w:val="0"/>
                <w:szCs w:val="21"/>
                <w:lang w:val="en-US" w:eastAsia="zh-CN"/>
              </w:rPr>
              <w:t>2025年</w:t>
            </w:r>
            <w:r>
              <w:rPr>
                <w:rFonts w:hint="default" w:ascii="Times New Roman" w:hAnsi="Times New Roman" w:eastAsia="仿宋" w:cs="Times New Roman"/>
                <w:kern w:val="0"/>
                <w:szCs w:val="21"/>
                <w:lang w:eastAsia="zh-CN"/>
              </w:rPr>
              <w:t>7月至8月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9129E">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以高温、汛期、暑期学生返乡返校行业安全生产为重点，开展应对高温、汛期、暑期学生返乡返校道路运输安全生产监督检查。做好各行业领域夏季高温安全生产和消防安全、检查，重点对道路危化品运输和旅游包车、班车客运、维修驾培行业、船舶适航及水上交通、重点货运源头企业装载管理等方面的安全检查。</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64D752D8">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p>
        </w:tc>
      </w:tr>
      <w:tr w14:paraId="70B2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3CC18C37">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D7F9D">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“中秋”“国庆”期间安全监管</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5034F4">
            <w:pPr>
              <w:pStyle w:val="7"/>
              <w:spacing w:before="0" w:beforeAutospacing="0" w:after="0" w:line="240" w:lineRule="exact"/>
              <w:ind w:left="0" w:leftChars="0" w:firstLine="0"/>
              <w:jc w:val="center"/>
              <w:rPr>
                <w:rFonts w:hint="default" w:ascii="Times New Roman" w:hAnsi="Times New Roman" w:eastAsia="仿宋" w:cs="Times New Roman"/>
                <w:kern w:val="0"/>
                <w:szCs w:val="21"/>
                <w:lang w:eastAsia="zh-CN"/>
              </w:rPr>
            </w:pPr>
            <w:r>
              <w:rPr>
                <w:rFonts w:hint="eastAsia" w:ascii="Times New Roman" w:hAnsi="Times New Roman" w:eastAsia="仿宋" w:cs="Times New Roman"/>
                <w:kern w:val="0"/>
                <w:szCs w:val="21"/>
                <w:lang w:val="en-US" w:eastAsia="zh-CN"/>
              </w:rPr>
              <w:t>2025年9</w:t>
            </w:r>
            <w:r>
              <w:rPr>
                <w:rFonts w:hint="default" w:ascii="Times New Roman" w:hAnsi="Times New Roman" w:eastAsia="仿宋" w:cs="Times New Roman"/>
                <w:kern w:val="0"/>
                <w:szCs w:val="21"/>
                <w:lang w:eastAsia="zh-CN"/>
              </w:rPr>
              <w:t>月至</w:t>
            </w:r>
            <w:r>
              <w:rPr>
                <w:rFonts w:hint="eastAsia" w:ascii="Times New Roman" w:hAnsi="Times New Roman" w:eastAsia="仿宋" w:cs="Times New Roman"/>
                <w:kern w:val="0"/>
                <w:szCs w:val="21"/>
                <w:lang w:val="en-US" w:eastAsia="zh-CN"/>
              </w:rPr>
              <w:t>10</w:t>
            </w:r>
            <w:r>
              <w:rPr>
                <w:rFonts w:hint="default" w:ascii="Times New Roman" w:hAnsi="Times New Roman" w:eastAsia="仿宋" w:cs="Times New Roman"/>
                <w:kern w:val="0"/>
                <w:szCs w:val="21"/>
                <w:lang w:eastAsia="zh-CN"/>
              </w:rPr>
              <w:t>月</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C48F1">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以应对“中秋”“国庆”客流、人流、车流高峰以及农民工外出务工为重点，在节前开展本领域的安全生产督查检查。重点对旅游包车、班车客运、汽车客运站、维修驾培行业、重点水域水上交通安全监管、车辆超限超载治理、路域环境整治的安全生产监督检查。加强节日期间应急值守，保持信息畅通。</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5F7D6FB">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p>
        </w:tc>
      </w:tr>
      <w:tr w14:paraId="2D170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508"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4CD0521C">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p>
        </w:tc>
        <w:tc>
          <w:tcPr>
            <w:tcW w:w="142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59C39C0C">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岁末年初、“元旦”期间安全生产监管</w:t>
            </w:r>
          </w:p>
        </w:tc>
        <w:tc>
          <w:tcPr>
            <w:tcW w:w="1455"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64A7E26C">
            <w:pPr>
              <w:pStyle w:val="7"/>
              <w:spacing w:before="0" w:beforeAutospacing="0" w:after="0" w:line="240" w:lineRule="exact"/>
              <w:ind w:left="0" w:leftChars="0" w:firstLine="0"/>
              <w:jc w:val="center"/>
              <w:rPr>
                <w:rFonts w:hint="default" w:ascii="Times New Roman" w:hAnsi="Times New Roman" w:eastAsia="仿宋" w:cs="Times New Roman"/>
                <w:kern w:val="0"/>
                <w:szCs w:val="21"/>
                <w:lang w:eastAsia="zh-CN"/>
              </w:rPr>
            </w:pPr>
            <w:r>
              <w:rPr>
                <w:rFonts w:hint="eastAsia" w:ascii="Times New Roman" w:hAnsi="Times New Roman" w:eastAsia="仿宋" w:cs="Times New Roman"/>
                <w:kern w:val="0"/>
                <w:szCs w:val="21"/>
                <w:lang w:val="en-US" w:eastAsia="zh-CN"/>
              </w:rPr>
              <w:t>2025年</w:t>
            </w:r>
            <w:r>
              <w:rPr>
                <w:rFonts w:hint="default" w:ascii="Times New Roman" w:hAnsi="Times New Roman" w:eastAsia="仿宋" w:cs="Times New Roman"/>
                <w:kern w:val="0"/>
                <w:szCs w:val="21"/>
                <w:lang w:eastAsia="zh-CN"/>
              </w:rPr>
              <w:t>11月至202</w:t>
            </w:r>
            <w:r>
              <w:rPr>
                <w:rFonts w:hint="default" w:ascii="Times New Roman" w:hAnsi="Times New Roman" w:eastAsia="仿宋" w:cs="Times New Roman"/>
                <w:kern w:val="0"/>
                <w:szCs w:val="21"/>
                <w:lang w:val="en-US" w:eastAsia="zh-CN"/>
              </w:rPr>
              <w:t>6</w:t>
            </w:r>
            <w:r>
              <w:rPr>
                <w:rFonts w:hint="default" w:ascii="Times New Roman" w:hAnsi="Times New Roman" w:eastAsia="仿宋" w:cs="Times New Roman"/>
                <w:kern w:val="0"/>
                <w:szCs w:val="21"/>
                <w:lang w:eastAsia="zh-CN"/>
              </w:rPr>
              <w:t>年元月</w:t>
            </w:r>
          </w:p>
        </w:tc>
        <w:tc>
          <w:tcPr>
            <w:tcW w:w="4764"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37178442">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以岁末年初、“元旦”期间行业安全生产为重点，开展应对寒潮、雾霾、冰雪等天气和各类可能存在的“抢工期”的行业安全生产监督检查，确保道路运输系统安全生产。 </w:t>
            </w:r>
          </w:p>
          <w:p w14:paraId="1A0D750D">
            <w:pPr>
              <w:spacing w:line="280" w:lineRule="exact"/>
              <w:ind w:firstLine="400"/>
              <w:jc w:val="left"/>
              <w:rPr>
                <w:rFonts w:hint="default" w:ascii="Times New Roman" w:hAnsi="Times New Roman" w:eastAsia="仿宋" w:cs="Times New Roman"/>
                <w:color w:val="000000"/>
                <w:kern w:val="0"/>
                <w:sz w:val="21"/>
                <w:szCs w:val="21"/>
                <w:lang w:val="en-US" w:eastAsia="zh-CN" w:bidi="ar-SA"/>
              </w:rPr>
            </w:pPr>
          </w:p>
        </w:tc>
        <w:tc>
          <w:tcPr>
            <w:tcW w:w="1228"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4EB24686">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p>
        </w:tc>
      </w:tr>
    </w:tbl>
    <w:p w14:paraId="497EB2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sz w:val="32"/>
          <w:szCs w:val="32"/>
          <w:lang w:eastAsia="zh-CN"/>
        </w:rPr>
      </w:pPr>
      <w:r>
        <w:rPr>
          <w:rFonts w:hint="eastAsia" w:ascii="黑体" w:hAnsi="黑体" w:eastAsia="黑体" w:cs="黑体"/>
          <w:b/>
          <w:bCs/>
          <w:sz w:val="32"/>
          <w:szCs w:val="32"/>
          <w:lang w:eastAsia="zh-CN"/>
        </w:rPr>
        <w:t>三、专项检查</w:t>
      </w:r>
    </w:p>
    <w:p w14:paraId="2A2ED05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1.危险货物运输：强化危险货物运输企业及车辆监管。计划全年全覆盖开展州直危险货物运输企业行政执法检查2轮，强化企业安全主体责任落实。</w:t>
      </w:r>
    </w:p>
    <w:p w14:paraId="657331E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2.旅游（包车）客运：规范州直道路旅游客运市场经营秩序，引导和促进旅游客运企业加强管理、保障安全、诚信经营、优质服务，制定下发《伊犁州道路旅游客运企业服务质量及安全生产评估量化指标》，预计</w:t>
      </w:r>
      <w:r>
        <w:rPr>
          <w:rFonts w:hint="eastAsia" w:ascii="仿宋_GB2312" w:hAnsi="仿宋_GB2312" w:eastAsia="仿宋_GB2312" w:cs="仿宋_GB2312"/>
          <w:kern w:val="2"/>
          <w:sz w:val="32"/>
          <w:szCs w:val="32"/>
          <w:lang w:val="en-US" w:eastAsia="zh-CN" w:bidi="ar-SA"/>
        </w:rPr>
        <w:t>在4月旅游旺季来临前，对伊犁州辖区旅游运输企业开展质量服务和安全生产量化评估。</w:t>
      </w:r>
    </w:p>
    <w:p w14:paraId="41F68BF6">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3.水运企业：紧盯“五一节”“儿童节”“中秋节”“国庆节”等重要节点和旅游高峰期对所有的水运企业开展一次全覆盖的安全隐患大排查，确保全州水上交通安全形势继续巩固。</w:t>
      </w:r>
    </w:p>
    <w:p w14:paraId="042B40A8">
      <w:pPr>
        <w:keepNext w:val="0"/>
        <w:keepLines w:val="0"/>
        <w:pageBreakBefore w:val="0"/>
        <w:widowControl w:val="0"/>
        <w:pBdr>
          <w:bottom w:val="single" w:color="FFFFFF" w:sz="4" w:space="23"/>
        </w:pBdr>
        <w:kinsoku/>
        <w:wordWrap/>
        <w:overflowPunct/>
        <w:topLinePunct w:val="0"/>
        <w:autoSpaceDE w:val="0"/>
        <w:autoSpaceDN w:val="0"/>
        <w:bidi w:val="0"/>
        <w:adjustRightInd w:val="0"/>
        <w:snapToGrid w:val="0"/>
        <w:spacing w:line="560" w:lineRule="exact"/>
        <w:ind w:firstLine="640" w:firstLineChars="200"/>
        <w:textAlignment w:val="auto"/>
        <w:outlineLvl w:val="2"/>
        <w:rPr>
          <w:rFonts w:hint="default" w:ascii="Times New Roman" w:hAnsi="Times New Roman" w:cs="Times New Roman"/>
        </w:rPr>
      </w:pPr>
      <w:r>
        <w:rPr>
          <w:rFonts w:hint="eastAsia" w:ascii="仿宋_GB2312" w:hAnsi="仿宋_GB2312" w:eastAsia="仿宋_GB2312" w:cs="仿宋_GB2312"/>
          <w:color w:val="000000"/>
          <w:kern w:val="0"/>
          <w:sz w:val="32"/>
          <w:szCs w:val="32"/>
          <w:lang w:val="en-US" w:eastAsia="zh-CN"/>
        </w:rPr>
        <w:t>4.交通工程质量监督：</w:t>
      </w: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年计划</w:t>
      </w:r>
      <w:r>
        <w:rPr>
          <w:rFonts w:hint="eastAsia" w:ascii="仿宋_GB2312" w:hAnsi="仿宋_GB2312" w:eastAsia="仿宋_GB2312" w:cs="仿宋_GB2312"/>
          <w:color w:val="000000"/>
          <w:kern w:val="0"/>
          <w:sz w:val="32"/>
          <w:szCs w:val="32"/>
          <w:lang w:eastAsia="zh-CN"/>
        </w:rPr>
        <w:t>在建管处的牵头下，</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sz w:val="32"/>
          <w:szCs w:val="32"/>
          <w:shd w:val="clear" w:color="auto" w:fill="FFFFFF"/>
        </w:rPr>
        <w:t>在建</w:t>
      </w:r>
      <w:r>
        <w:rPr>
          <w:rFonts w:hint="eastAsia" w:ascii="仿宋_GB2312" w:hAnsi="仿宋_GB2312" w:eastAsia="仿宋_GB2312" w:cs="仿宋_GB2312"/>
          <w:color w:val="000000"/>
          <w:kern w:val="0"/>
          <w:sz w:val="32"/>
          <w:szCs w:val="32"/>
        </w:rPr>
        <w:t>项目开展综合监督检查2次，对新开工项目及续建项目检查</w:t>
      </w:r>
      <w:r>
        <w:rPr>
          <w:rFonts w:hint="eastAsia" w:ascii="仿宋_GB2312" w:hAnsi="仿宋_GB2312" w:eastAsia="仿宋_GB2312" w:cs="仿宋_GB2312"/>
          <w:color w:val="000000"/>
          <w:sz w:val="32"/>
          <w:szCs w:val="32"/>
          <w:shd w:val="clear" w:color="auto" w:fill="FFFFFF"/>
        </w:rPr>
        <w:t>侧重点</w:t>
      </w:r>
      <w:r>
        <w:rPr>
          <w:rFonts w:hint="eastAsia" w:ascii="仿宋_GB2312" w:hAnsi="仿宋_GB2312" w:eastAsia="仿宋_GB2312" w:cs="仿宋_GB2312"/>
          <w:color w:val="000000"/>
          <w:kern w:val="0"/>
          <w:sz w:val="32"/>
          <w:szCs w:val="32"/>
        </w:rPr>
        <w:t>不同。具体安排详见下表：</w:t>
      </w:r>
    </w:p>
    <w:tbl>
      <w:tblPr>
        <w:tblStyle w:val="8"/>
        <w:tblW w:w="93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426"/>
        <w:gridCol w:w="1455"/>
        <w:gridCol w:w="4764"/>
        <w:gridCol w:w="1228"/>
      </w:tblGrid>
      <w:tr w14:paraId="2C186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508"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614B4D16">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序号</w:t>
            </w:r>
          </w:p>
        </w:tc>
        <w:tc>
          <w:tcPr>
            <w:tcW w:w="1426"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5A2BF0EA">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检查类型</w:t>
            </w:r>
          </w:p>
        </w:tc>
        <w:tc>
          <w:tcPr>
            <w:tcW w:w="1455"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62E4D2FD">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时间</w:t>
            </w:r>
          </w:p>
        </w:tc>
        <w:tc>
          <w:tcPr>
            <w:tcW w:w="4764"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740209FD">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内容</w:t>
            </w:r>
          </w:p>
        </w:tc>
        <w:tc>
          <w:tcPr>
            <w:tcW w:w="1228" w:type="dxa"/>
            <w:tcBorders>
              <w:top w:val="single" w:color="auto" w:sz="12" w:space="0"/>
              <w:left w:val="single" w:color="auto" w:sz="4" w:space="0"/>
              <w:bottom w:val="single" w:color="auto" w:sz="4" w:space="0"/>
              <w:right w:val="single" w:color="auto" w:sz="12" w:space="0"/>
              <w:tl2br w:val="nil"/>
              <w:tr2bl w:val="nil"/>
            </w:tcBorders>
            <w:noWrap w:val="0"/>
            <w:vAlign w:val="center"/>
          </w:tcPr>
          <w:p w14:paraId="245AECA1">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备注</w:t>
            </w:r>
          </w:p>
        </w:tc>
      </w:tr>
      <w:tr w14:paraId="2F7C4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08" w:type="dxa"/>
            <w:tcBorders>
              <w:top w:val="single" w:color="auto" w:sz="4" w:space="0"/>
              <w:left w:val="single" w:color="auto" w:sz="12" w:space="0"/>
              <w:bottom w:val="single" w:color="auto" w:sz="4" w:space="0"/>
              <w:right w:val="single" w:color="auto" w:sz="4" w:space="0"/>
              <w:tl2br w:val="nil"/>
              <w:tr2bl w:val="nil"/>
            </w:tcBorders>
            <w:noWrap w:val="0"/>
            <w:vAlign w:val="center"/>
          </w:tcPr>
          <w:p w14:paraId="61871A5B">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w:t>
            </w:r>
          </w:p>
        </w:tc>
        <w:tc>
          <w:tcPr>
            <w:tcW w:w="1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24553">
            <w:pPr>
              <w:pStyle w:val="7"/>
              <w:spacing w:before="0" w:beforeAutospacing="0" w:after="0" w:line="240" w:lineRule="exact"/>
              <w:ind w:left="0" w:leftChars="0" w:firstLine="0"/>
              <w:jc w:val="center"/>
              <w:rPr>
                <w:rFonts w:hint="eastAsia" w:ascii="Times New Roman" w:hAnsi="Times New Roman" w:eastAsia="仿宋" w:cs="Times New Roman"/>
                <w:kern w:val="0"/>
                <w:szCs w:val="21"/>
                <w:lang w:eastAsia="zh-CN"/>
              </w:rPr>
            </w:pPr>
            <w:r>
              <w:rPr>
                <w:rFonts w:hint="default" w:ascii="Times New Roman" w:hAnsi="Times New Roman" w:eastAsia="仿宋" w:cs="Times New Roman"/>
                <w:kern w:val="0"/>
                <w:szCs w:val="21"/>
              </w:rPr>
              <w:t>第一次综合监督检查</w:t>
            </w:r>
            <w:r>
              <w:rPr>
                <w:rFonts w:hint="eastAsia" w:ascii="Times New Roman" w:hAnsi="Times New Roman" w:eastAsia="仿宋" w:cs="Times New Roman"/>
                <w:kern w:val="0"/>
                <w:szCs w:val="21"/>
                <w:lang w:eastAsia="zh-CN"/>
              </w:rPr>
              <w:t>及原材专项</w:t>
            </w:r>
          </w:p>
        </w:tc>
        <w:tc>
          <w:tcPr>
            <w:tcW w:w="1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DF99B">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3.24</w:t>
            </w:r>
            <w:r>
              <w:rPr>
                <w:rFonts w:hint="default" w:ascii="Times New Roman" w:hAnsi="Times New Roman" w:eastAsia="仿宋" w:cs="Times New Roman"/>
                <w:kern w:val="0"/>
                <w:szCs w:val="21"/>
              </w:rPr>
              <w:t>~</w:t>
            </w:r>
          </w:p>
          <w:p w14:paraId="6736B4A8">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4.20</w:t>
            </w:r>
          </w:p>
        </w:tc>
        <w:tc>
          <w:tcPr>
            <w:tcW w:w="4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DA3C6">
            <w:pPr>
              <w:pStyle w:val="7"/>
              <w:spacing w:before="0" w:beforeAutospacing="0" w:after="0" w:line="280" w:lineRule="exact"/>
              <w:ind w:left="0" w:leftChars="0"/>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新建项目的检查内容侧重从业单位人员、设备履约，制度建设，体系建设，驻地及场站建设等内容，对施工准备情况作出评价，并对进场的原材料和自采材料进行抽检。续建项目的检查内容侧重年度质量责任登记动态管理情况、复工各项准备工作开展情况、人员到位情况、工地试验室合格性检查以及试验工作开展情况、复工后进场原材料、自采材料及工程实体进行质量抽检。</w:t>
            </w:r>
          </w:p>
        </w:tc>
        <w:tc>
          <w:tcPr>
            <w:tcW w:w="1228"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752AF986">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val="en-US" w:eastAsia="zh-CN"/>
              </w:rPr>
              <w:t>3</w:t>
            </w:r>
            <w:r>
              <w:rPr>
                <w:rFonts w:hint="default" w:ascii="Times New Roman" w:hAnsi="Times New Roman" w:eastAsia="仿宋" w:cs="Times New Roman"/>
                <w:kern w:val="0"/>
                <w:szCs w:val="21"/>
              </w:rPr>
              <w:t>月</w:t>
            </w:r>
            <w:r>
              <w:rPr>
                <w:rFonts w:hint="default" w:ascii="Times New Roman" w:hAnsi="Times New Roman" w:eastAsia="仿宋" w:cs="Times New Roman"/>
                <w:kern w:val="0"/>
                <w:szCs w:val="21"/>
                <w:lang w:val="en-US" w:eastAsia="zh-CN"/>
              </w:rPr>
              <w:t>20</w:t>
            </w:r>
            <w:r>
              <w:rPr>
                <w:rFonts w:hint="default" w:ascii="Times New Roman" w:hAnsi="Times New Roman" w:eastAsia="仿宋" w:cs="Times New Roman"/>
                <w:kern w:val="0"/>
                <w:szCs w:val="21"/>
              </w:rPr>
              <w:t>日前编制第一次综合监督检查方案</w:t>
            </w:r>
          </w:p>
        </w:tc>
      </w:tr>
      <w:tr w14:paraId="30BD0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08" w:type="dxa"/>
            <w:tcBorders>
              <w:top w:val="single" w:color="auto" w:sz="4" w:space="0"/>
              <w:left w:val="single" w:color="auto" w:sz="12" w:space="0"/>
              <w:bottom w:val="single" w:color="auto" w:sz="12" w:space="0"/>
              <w:right w:val="single" w:color="auto" w:sz="4" w:space="0"/>
              <w:tl2br w:val="nil"/>
              <w:tr2bl w:val="nil"/>
            </w:tcBorders>
            <w:noWrap w:val="0"/>
            <w:vAlign w:val="center"/>
          </w:tcPr>
          <w:p w14:paraId="30548385">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w:t>
            </w:r>
          </w:p>
        </w:tc>
        <w:tc>
          <w:tcPr>
            <w:tcW w:w="1426"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1AB9B3C9">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年终综合监督检查</w:t>
            </w:r>
          </w:p>
        </w:tc>
        <w:tc>
          <w:tcPr>
            <w:tcW w:w="1455"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0681B23B">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1</w:t>
            </w:r>
            <w:r>
              <w:rPr>
                <w:rFonts w:hint="default" w:ascii="Times New Roman" w:hAnsi="Times New Roman" w:eastAsia="仿宋" w:cs="Times New Roman"/>
                <w:kern w:val="0"/>
                <w:szCs w:val="21"/>
              </w:rPr>
              <w:t>~</w:t>
            </w:r>
          </w:p>
          <w:p w14:paraId="2C503C8C">
            <w:pPr>
              <w:pStyle w:val="7"/>
              <w:spacing w:before="0" w:beforeAutospacing="0" w:after="0" w:line="240" w:lineRule="exact"/>
              <w:ind w:left="0" w:leftChars="0" w:firstLine="0"/>
              <w:jc w:val="center"/>
              <w:rPr>
                <w:rFonts w:hint="default" w:ascii="Times New Roman" w:hAnsi="Times New Roman" w:eastAsia="仿宋" w:cs="Times New Roman"/>
                <w:kern w:val="0"/>
                <w:szCs w:val="21"/>
                <w:lang w:val="en-US" w:eastAsia="zh-CN"/>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26</w:t>
            </w:r>
          </w:p>
        </w:tc>
        <w:tc>
          <w:tcPr>
            <w:tcW w:w="4764" w:type="dxa"/>
            <w:tcBorders>
              <w:top w:val="single" w:color="auto" w:sz="4" w:space="0"/>
              <w:left w:val="single" w:color="auto" w:sz="4" w:space="0"/>
              <w:bottom w:val="single" w:color="auto" w:sz="12" w:space="0"/>
              <w:right w:val="single" w:color="auto" w:sz="4" w:space="0"/>
              <w:tl2br w:val="nil"/>
              <w:tr2bl w:val="nil"/>
            </w:tcBorders>
            <w:noWrap w:val="0"/>
            <w:vAlign w:val="center"/>
          </w:tcPr>
          <w:p w14:paraId="4E6B5EC5">
            <w:pPr>
              <w:spacing w:line="280" w:lineRule="exact"/>
              <w:ind w:firstLine="400"/>
              <w:jc w:val="left"/>
              <w:rPr>
                <w:rFonts w:hint="default" w:ascii="Times New Roman" w:hAnsi="Times New Roman" w:eastAsia="仿宋" w:cs="Times New Roman"/>
                <w:kern w:val="0"/>
                <w:sz w:val="20"/>
                <w:szCs w:val="21"/>
              </w:rPr>
            </w:pPr>
            <w:r>
              <w:rPr>
                <w:rFonts w:hint="default" w:ascii="Times New Roman" w:hAnsi="Times New Roman" w:eastAsia="仿宋" w:cs="Times New Roman"/>
                <w:color w:val="000000"/>
                <w:kern w:val="0"/>
                <w:sz w:val="21"/>
                <w:szCs w:val="21"/>
                <w:lang w:val="en-US" w:eastAsia="zh-CN" w:bidi="ar-SA"/>
              </w:rPr>
              <w:t>检查内容侧重建设项目参建单位质量管理行为检查、检查质量、安全保证体系运行情况、施工工艺控制、“平安百年品质工程”创建、平安工地建设、工程实体质量及原材料合格情况、质量问题整改情况等方面进行全面检查及考核评价排序，对排名靠前的单位提出表扬，对排名靠后的单位提出通报批评。</w:t>
            </w:r>
          </w:p>
        </w:tc>
        <w:tc>
          <w:tcPr>
            <w:tcW w:w="1228"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1637EFE2">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val="en-US" w:eastAsia="zh-CN"/>
              </w:rPr>
              <w:t>8</w:t>
            </w:r>
            <w:r>
              <w:rPr>
                <w:rFonts w:hint="default" w:ascii="Times New Roman" w:hAnsi="Times New Roman" w:eastAsia="仿宋" w:cs="Times New Roman"/>
                <w:kern w:val="0"/>
                <w:szCs w:val="21"/>
              </w:rPr>
              <w:t>月</w:t>
            </w:r>
            <w:r>
              <w:rPr>
                <w:rFonts w:hint="default" w:ascii="Times New Roman" w:hAnsi="Times New Roman" w:eastAsia="仿宋" w:cs="Times New Roman"/>
                <w:kern w:val="0"/>
                <w:szCs w:val="21"/>
                <w:lang w:val="en-US" w:eastAsia="zh-CN"/>
              </w:rPr>
              <w:t>2</w:t>
            </w:r>
            <w:r>
              <w:rPr>
                <w:rFonts w:hint="default" w:ascii="Times New Roman" w:hAnsi="Times New Roman" w:eastAsia="仿宋" w:cs="Times New Roman"/>
                <w:kern w:val="0"/>
                <w:szCs w:val="21"/>
              </w:rPr>
              <w:t>5日前编制年终综合监督检查方案</w:t>
            </w:r>
          </w:p>
        </w:tc>
      </w:tr>
    </w:tbl>
    <w:p w14:paraId="02CCB25D">
      <w:pPr>
        <w:keepNext w:val="0"/>
        <w:keepLines w:val="0"/>
        <w:pageBreakBefore w:val="0"/>
        <w:widowControl w:val="0"/>
        <w:pBdr>
          <w:bottom w:val="single" w:color="FFFFFF" w:sz="4" w:space="23"/>
        </w:pBdr>
        <w:kinsoku/>
        <w:wordWrap/>
        <w:overflowPunct/>
        <w:topLinePunct w:val="0"/>
        <w:autoSpaceDE w:val="0"/>
        <w:autoSpaceDN w:val="0"/>
        <w:bidi w:val="0"/>
        <w:adjustRightInd w:val="0"/>
        <w:snapToGrid w:val="0"/>
        <w:spacing w:line="560" w:lineRule="exact"/>
        <w:ind w:firstLine="640" w:firstLineChars="200"/>
        <w:textAlignment w:val="auto"/>
        <w:outlineLvl w:val="2"/>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eastAsia="zh-CN"/>
        </w:rPr>
        <w:t>202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全年</w:t>
      </w:r>
      <w:r>
        <w:rPr>
          <w:rFonts w:hint="default" w:ascii="Times New Roman" w:hAnsi="Times New Roman" w:eastAsia="仿宋_GB2312" w:cs="Times New Roman"/>
          <w:sz w:val="32"/>
          <w:szCs w:val="32"/>
        </w:rPr>
        <w:t>计划</w:t>
      </w:r>
      <w:r>
        <w:rPr>
          <w:rFonts w:hint="eastAsia" w:ascii="Times New Roman" w:hAnsi="Times New Roman" w:eastAsia="仿宋_GB2312" w:cs="Times New Roman"/>
          <w:color w:val="000000"/>
          <w:kern w:val="0"/>
          <w:sz w:val="32"/>
          <w:szCs w:val="32"/>
          <w:lang w:eastAsia="zh-CN"/>
        </w:rPr>
        <w:t>在建管处的牵头下，</w:t>
      </w:r>
      <w:r>
        <w:rPr>
          <w:rFonts w:hint="default" w:ascii="Times New Roman" w:hAnsi="Times New Roman" w:eastAsia="仿宋_GB2312" w:cs="Times New Roman"/>
          <w:sz w:val="32"/>
          <w:szCs w:val="32"/>
        </w:rPr>
        <w:t>对州本级公路建设项目（含PPP项目）</w:t>
      </w:r>
      <w:r>
        <w:rPr>
          <w:rFonts w:hint="default" w:ascii="Times New Roman" w:hAnsi="Times New Roman" w:eastAsia="仿宋_GB2312" w:cs="Times New Roman"/>
          <w:color w:val="000000"/>
          <w:kern w:val="0"/>
          <w:sz w:val="32"/>
          <w:szCs w:val="32"/>
        </w:rPr>
        <w:t>开展各类专项监督检查</w:t>
      </w:r>
      <w:r>
        <w:rPr>
          <w:rFonts w:hint="default" w:ascii="Times New Roman" w:hAnsi="Times New Roman" w:eastAsia="仿宋" w:cs="Times New Roman"/>
          <w:sz w:val="32"/>
          <w:szCs w:val="32"/>
          <w:lang w:eastAsia="zh-CN"/>
        </w:rPr>
        <w:t>不少于</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次</w:t>
      </w:r>
      <w:r>
        <w:rPr>
          <w:rFonts w:hint="default" w:ascii="Times New Roman" w:hAnsi="Times New Roman" w:eastAsia="仿宋_GB2312" w:cs="Times New Roman"/>
          <w:sz w:val="32"/>
          <w:szCs w:val="32"/>
        </w:rPr>
        <w:t>，对县市公路工程质监机构工作进行服务指导2次，</w:t>
      </w:r>
      <w:r>
        <w:rPr>
          <w:rFonts w:hint="default" w:ascii="Times New Roman" w:hAnsi="Times New Roman" w:eastAsia="仿宋_GB2312" w:cs="Times New Roman"/>
          <w:color w:val="000000"/>
          <w:kern w:val="0"/>
          <w:sz w:val="32"/>
          <w:szCs w:val="32"/>
        </w:rPr>
        <w:t>专项检查安排详见下表：</w:t>
      </w:r>
    </w:p>
    <w:tbl>
      <w:tblPr>
        <w:tblStyle w:val="9"/>
        <w:tblpPr w:leftFromText="180" w:rightFromText="180" w:vertAnchor="text" w:tblpX="1" w:tblpY="1"/>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65"/>
        <w:gridCol w:w="1470"/>
        <w:gridCol w:w="4549"/>
        <w:gridCol w:w="1121"/>
      </w:tblGrid>
      <w:tr w14:paraId="1877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14:paraId="201ADD9D">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序号</w:t>
            </w:r>
          </w:p>
        </w:tc>
        <w:tc>
          <w:tcPr>
            <w:tcW w:w="1065" w:type="dxa"/>
            <w:noWrap w:val="0"/>
            <w:vAlign w:val="center"/>
          </w:tcPr>
          <w:p w14:paraId="24E4F82F">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检查类型</w:t>
            </w:r>
          </w:p>
        </w:tc>
        <w:tc>
          <w:tcPr>
            <w:tcW w:w="1470" w:type="dxa"/>
            <w:noWrap w:val="0"/>
            <w:vAlign w:val="center"/>
          </w:tcPr>
          <w:p w14:paraId="430F4A36">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时间</w:t>
            </w:r>
          </w:p>
        </w:tc>
        <w:tc>
          <w:tcPr>
            <w:tcW w:w="4549" w:type="dxa"/>
            <w:noWrap w:val="0"/>
            <w:vAlign w:val="center"/>
          </w:tcPr>
          <w:p w14:paraId="57987066">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内容</w:t>
            </w:r>
          </w:p>
        </w:tc>
        <w:tc>
          <w:tcPr>
            <w:tcW w:w="1121" w:type="dxa"/>
            <w:noWrap w:val="0"/>
            <w:vAlign w:val="center"/>
          </w:tcPr>
          <w:p w14:paraId="6FD6E856">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default" w:ascii="Times New Roman" w:hAnsi="Times New Roman" w:eastAsia="仿宋" w:cs="Times New Roman"/>
                <w:b/>
                <w:bCs/>
                <w:color w:val="000000"/>
                <w:kern w:val="0"/>
                <w:sz w:val="21"/>
                <w:szCs w:val="21"/>
                <w:lang w:val="en-US" w:eastAsia="zh-CN" w:bidi="ar-SA"/>
              </w:rPr>
            </w:pPr>
            <w:r>
              <w:rPr>
                <w:rFonts w:hint="default" w:ascii="Times New Roman" w:hAnsi="Times New Roman" w:eastAsia="仿宋" w:cs="Times New Roman"/>
                <w:b/>
                <w:bCs/>
                <w:kern w:val="0"/>
                <w:szCs w:val="21"/>
              </w:rPr>
              <w:t>备注</w:t>
            </w:r>
          </w:p>
        </w:tc>
      </w:tr>
      <w:tr w14:paraId="7FB1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14:paraId="41CE2679">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eastAsia" w:ascii="Times New Roman" w:hAnsi="Times New Roman" w:eastAsia="仿宋" w:cs="Times New Roman"/>
                <w:b/>
                <w:bCs/>
                <w:kern w:val="0"/>
                <w:szCs w:val="21"/>
                <w:lang w:val="en-US" w:eastAsia="zh-CN"/>
              </w:rPr>
            </w:pPr>
            <w:r>
              <w:rPr>
                <w:rFonts w:hint="eastAsia" w:ascii="Times New Roman" w:hAnsi="Times New Roman" w:eastAsia="仿宋" w:cs="Times New Roman"/>
                <w:b/>
                <w:bCs/>
                <w:kern w:val="0"/>
                <w:szCs w:val="21"/>
                <w:lang w:val="en-US" w:eastAsia="zh-CN"/>
              </w:rPr>
              <w:t>1</w:t>
            </w:r>
          </w:p>
        </w:tc>
        <w:tc>
          <w:tcPr>
            <w:tcW w:w="1065" w:type="dxa"/>
            <w:vMerge w:val="restart"/>
            <w:noWrap w:val="0"/>
            <w:vAlign w:val="center"/>
          </w:tcPr>
          <w:p w14:paraId="1D2D8DF6">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vertAlign w:val="baseline"/>
              </w:rPr>
            </w:pPr>
            <w:r>
              <w:rPr>
                <w:rFonts w:hint="default" w:ascii="Times New Roman" w:hAnsi="Times New Roman" w:eastAsia="仿宋" w:cs="Times New Roman"/>
                <w:color w:val="000000"/>
                <w:kern w:val="0"/>
                <w:szCs w:val="21"/>
              </w:rPr>
              <w:t>专项检查</w:t>
            </w:r>
          </w:p>
        </w:tc>
        <w:tc>
          <w:tcPr>
            <w:tcW w:w="1470" w:type="dxa"/>
            <w:noWrap w:val="0"/>
            <w:vAlign w:val="center"/>
          </w:tcPr>
          <w:p w14:paraId="6BE2F45C">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eastAsia" w:ascii="Times New Roman" w:hAnsi="Times New Roman" w:eastAsia="仿宋" w:cs="Times New Roman"/>
                <w:kern w:val="0"/>
                <w:szCs w:val="21"/>
                <w:lang w:val="en-US" w:eastAsia="zh-CN"/>
              </w:rPr>
              <w:t>2025.2.20</w:t>
            </w:r>
            <w:r>
              <w:rPr>
                <w:rFonts w:hint="default" w:ascii="Times New Roman" w:hAnsi="Times New Roman" w:eastAsia="仿宋" w:cs="Times New Roman"/>
                <w:kern w:val="0"/>
                <w:szCs w:val="21"/>
              </w:rPr>
              <w:t>~</w:t>
            </w:r>
          </w:p>
          <w:p w14:paraId="6FAF3B42">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kern w:val="0"/>
                <w:szCs w:val="21"/>
                <w:lang w:val="en-US" w:eastAsia="zh-CN"/>
              </w:rPr>
            </w:pPr>
            <w:r>
              <w:rPr>
                <w:rFonts w:hint="eastAsia" w:ascii="Times New Roman" w:hAnsi="Times New Roman" w:eastAsia="仿宋" w:cs="Times New Roman"/>
                <w:kern w:val="0"/>
                <w:szCs w:val="21"/>
                <w:lang w:val="en-US" w:eastAsia="zh-CN"/>
              </w:rPr>
              <w:t>3.1</w:t>
            </w:r>
          </w:p>
        </w:tc>
        <w:tc>
          <w:tcPr>
            <w:tcW w:w="4549" w:type="dxa"/>
            <w:noWrap w:val="0"/>
            <w:vAlign w:val="center"/>
          </w:tcPr>
          <w:p w14:paraId="0B90C852">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eastAsia" w:ascii="Times New Roman" w:hAnsi="Times New Roman" w:eastAsia="仿宋" w:cs="Times New Roman"/>
                <w:b/>
                <w:bCs/>
                <w:kern w:val="0"/>
                <w:szCs w:val="21"/>
                <w:lang w:eastAsia="zh-CN"/>
              </w:rPr>
            </w:pPr>
            <w:r>
              <w:rPr>
                <w:rFonts w:hint="eastAsia" w:ascii="仿宋" w:hAnsi="仿宋" w:eastAsia="仿宋" w:cs="仿宋"/>
                <w:kern w:val="0"/>
                <w:szCs w:val="21"/>
                <w:lang w:eastAsia="zh-CN"/>
              </w:rPr>
              <w:t>复工复产之前</w:t>
            </w:r>
            <w:r>
              <w:rPr>
                <w:rFonts w:hint="eastAsia" w:ascii="仿宋" w:hAnsi="仿宋" w:eastAsia="仿宋" w:cs="仿宋"/>
                <w:kern w:val="0"/>
                <w:szCs w:val="21"/>
              </w:rPr>
              <w:t>对州本级项目</w:t>
            </w:r>
            <w:r>
              <w:rPr>
                <w:rFonts w:hint="eastAsia" w:ascii="仿宋" w:hAnsi="仿宋" w:eastAsia="仿宋" w:cs="仿宋"/>
                <w:kern w:val="0"/>
                <w:szCs w:val="21"/>
                <w:lang w:eastAsia="zh-CN"/>
              </w:rPr>
              <w:t>工地试验室开展专项检查</w:t>
            </w:r>
          </w:p>
        </w:tc>
        <w:tc>
          <w:tcPr>
            <w:tcW w:w="1121" w:type="dxa"/>
            <w:noWrap w:val="0"/>
            <w:vAlign w:val="center"/>
          </w:tcPr>
          <w:p w14:paraId="6BFCFEB9">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center"/>
              <w:textAlignment w:val="auto"/>
              <w:rPr>
                <w:rFonts w:hint="default" w:ascii="Times New Roman" w:hAnsi="Times New Roman" w:eastAsia="仿宋" w:cs="Times New Roman"/>
                <w:b/>
                <w:bCs/>
                <w:kern w:val="0"/>
                <w:szCs w:val="21"/>
              </w:rPr>
            </w:pPr>
          </w:p>
        </w:tc>
      </w:tr>
      <w:tr w14:paraId="07E2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14:paraId="20575AC8">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eastAsia" w:ascii="Times New Roman" w:hAnsi="Times New Roman" w:eastAsia="仿宋" w:cs="Times New Roman"/>
                <w:b/>
                <w:bCs/>
                <w:kern w:val="0"/>
                <w:szCs w:val="21"/>
                <w:lang w:val="en-US" w:eastAsia="zh-CN"/>
              </w:rPr>
            </w:pPr>
            <w:r>
              <w:rPr>
                <w:rFonts w:hint="eastAsia" w:ascii="Times New Roman" w:hAnsi="Times New Roman" w:eastAsia="仿宋" w:cs="Times New Roman"/>
                <w:b/>
                <w:bCs/>
                <w:kern w:val="0"/>
                <w:szCs w:val="21"/>
                <w:lang w:val="en-US" w:eastAsia="zh-CN"/>
              </w:rPr>
              <w:t>2</w:t>
            </w:r>
          </w:p>
        </w:tc>
        <w:tc>
          <w:tcPr>
            <w:tcW w:w="1065" w:type="dxa"/>
            <w:vMerge w:val="continue"/>
            <w:noWrap w:val="0"/>
            <w:vAlign w:val="center"/>
          </w:tcPr>
          <w:p w14:paraId="7AFCB39F">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b/>
                <w:bCs/>
                <w:kern w:val="0"/>
                <w:szCs w:val="21"/>
              </w:rPr>
            </w:pPr>
          </w:p>
        </w:tc>
        <w:tc>
          <w:tcPr>
            <w:tcW w:w="1470" w:type="dxa"/>
            <w:noWrap w:val="0"/>
            <w:vAlign w:val="center"/>
          </w:tcPr>
          <w:p w14:paraId="7FF91F74">
            <w:pPr>
              <w:pStyle w:val="7"/>
              <w:spacing w:before="0" w:beforeAutospacing="0" w:after="0" w:line="240" w:lineRule="exact"/>
              <w:ind w:left="0" w:leftChars="0" w:firstLine="0"/>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3.24</w:t>
            </w:r>
            <w:r>
              <w:rPr>
                <w:rFonts w:hint="default" w:ascii="Times New Roman" w:hAnsi="Times New Roman" w:eastAsia="仿宋" w:cs="Times New Roman"/>
                <w:kern w:val="0"/>
                <w:szCs w:val="21"/>
              </w:rPr>
              <w:t>~</w:t>
            </w:r>
          </w:p>
          <w:p w14:paraId="53A70E3A">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4.20</w:t>
            </w:r>
          </w:p>
        </w:tc>
        <w:tc>
          <w:tcPr>
            <w:tcW w:w="4549" w:type="dxa"/>
            <w:noWrap w:val="0"/>
            <w:vAlign w:val="center"/>
          </w:tcPr>
          <w:p w14:paraId="5B69C944">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eastAsia" w:ascii="仿宋" w:hAnsi="仿宋" w:eastAsia="仿宋" w:cs="仿宋"/>
                <w:kern w:val="0"/>
                <w:szCs w:val="21"/>
              </w:rPr>
              <w:t>对州本级项目原材料、自采材料及工程实体进行质量抽检。</w:t>
            </w:r>
          </w:p>
        </w:tc>
        <w:tc>
          <w:tcPr>
            <w:tcW w:w="1121" w:type="dxa"/>
            <w:noWrap w:val="0"/>
            <w:vAlign w:val="center"/>
          </w:tcPr>
          <w:p w14:paraId="510F59B3">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eastAsia="仿宋_GB2312" w:cs="Times New Roman"/>
                <w:color w:val="000000"/>
                <w:kern w:val="2"/>
                <w:sz w:val="21"/>
                <w:szCs w:val="32"/>
                <w:vertAlign w:val="baseline"/>
                <w:lang w:val="en-US" w:eastAsia="zh-CN" w:bidi="ar-SA"/>
              </w:rPr>
            </w:pPr>
            <w:r>
              <w:rPr>
                <w:rFonts w:hint="default" w:ascii="Times New Roman" w:hAnsi="Times New Roman" w:eastAsia="仿宋" w:cs="Times New Roman"/>
                <w:color w:val="000000"/>
                <w:kern w:val="0"/>
                <w:szCs w:val="21"/>
              </w:rPr>
              <w:t>与年</w:t>
            </w:r>
            <w:r>
              <w:rPr>
                <w:rFonts w:hint="eastAsia" w:ascii="Times New Roman" w:hAnsi="Times New Roman" w:eastAsia="仿宋" w:cs="Times New Roman"/>
                <w:color w:val="000000"/>
                <w:kern w:val="0"/>
                <w:szCs w:val="21"/>
                <w:lang w:eastAsia="zh-CN"/>
              </w:rPr>
              <w:t>初</w:t>
            </w:r>
            <w:r>
              <w:rPr>
                <w:rFonts w:hint="default" w:ascii="Times New Roman" w:hAnsi="Times New Roman" w:eastAsia="仿宋" w:cs="Times New Roman"/>
                <w:color w:val="000000"/>
                <w:kern w:val="0"/>
                <w:szCs w:val="21"/>
              </w:rPr>
              <w:t>综合监督检查合并进行</w:t>
            </w:r>
          </w:p>
        </w:tc>
      </w:tr>
      <w:tr w14:paraId="7EA1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3" w:type="dxa"/>
            <w:noWrap w:val="0"/>
            <w:vAlign w:val="center"/>
          </w:tcPr>
          <w:p w14:paraId="40CFF065">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3</w:t>
            </w:r>
          </w:p>
        </w:tc>
        <w:tc>
          <w:tcPr>
            <w:tcW w:w="1065" w:type="dxa"/>
            <w:vMerge w:val="continue"/>
            <w:noWrap w:val="0"/>
            <w:vAlign w:val="center"/>
          </w:tcPr>
          <w:p w14:paraId="61EB4E42">
            <w:pPr>
              <w:pStyle w:val="7"/>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vertAlign w:val="baseline"/>
              </w:rPr>
            </w:pPr>
          </w:p>
        </w:tc>
        <w:tc>
          <w:tcPr>
            <w:tcW w:w="1470" w:type="dxa"/>
            <w:noWrap w:val="0"/>
            <w:vAlign w:val="center"/>
          </w:tcPr>
          <w:p w14:paraId="3D386887">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.5.1</w:t>
            </w:r>
            <w:r>
              <w:rPr>
                <w:rFonts w:hint="default" w:ascii="Times New Roman" w:hAnsi="Times New Roman" w:eastAsia="仿宋" w:cs="Times New Roman"/>
                <w:kern w:val="0"/>
                <w:szCs w:val="21"/>
                <w:lang w:val="en-US" w:eastAsia="zh-CN"/>
              </w:rPr>
              <w:t>2</w:t>
            </w:r>
            <w:r>
              <w:rPr>
                <w:rFonts w:hint="default" w:ascii="Times New Roman" w:hAnsi="Times New Roman" w:eastAsia="仿宋" w:cs="Times New Roman"/>
                <w:kern w:val="0"/>
                <w:szCs w:val="21"/>
              </w:rPr>
              <w:t>~</w:t>
            </w:r>
          </w:p>
          <w:p w14:paraId="480FA6EE">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w:t>
            </w:r>
            <w:r>
              <w:rPr>
                <w:rFonts w:hint="default" w:ascii="Times New Roman" w:hAnsi="Times New Roman" w:eastAsia="仿宋" w:cs="Times New Roman"/>
                <w:kern w:val="0"/>
                <w:szCs w:val="21"/>
                <w:lang w:val="en-US" w:eastAsia="zh-CN"/>
              </w:rPr>
              <w:t>5.30</w:t>
            </w:r>
          </w:p>
        </w:tc>
        <w:tc>
          <w:tcPr>
            <w:tcW w:w="4549" w:type="dxa"/>
            <w:noWrap w:val="0"/>
            <w:vAlign w:val="center"/>
          </w:tcPr>
          <w:p w14:paraId="1CAA854D">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对县市公路质量监督机构进行第一次服务指导，并抽检县市重要农村公路及危桥建设项目。</w:t>
            </w:r>
          </w:p>
        </w:tc>
        <w:tc>
          <w:tcPr>
            <w:tcW w:w="1121" w:type="dxa"/>
            <w:noWrap w:val="0"/>
            <w:vAlign w:val="center"/>
          </w:tcPr>
          <w:p w14:paraId="064A7269">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14:paraId="6E41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3" w:type="dxa"/>
            <w:noWrap w:val="0"/>
            <w:vAlign w:val="center"/>
          </w:tcPr>
          <w:p w14:paraId="5874A739">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4</w:t>
            </w:r>
          </w:p>
        </w:tc>
        <w:tc>
          <w:tcPr>
            <w:tcW w:w="1065" w:type="dxa"/>
            <w:vMerge w:val="continue"/>
            <w:noWrap w:val="0"/>
            <w:vAlign w:val="center"/>
          </w:tcPr>
          <w:p w14:paraId="1C2FAE7E">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14:paraId="41249A08">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highlight w:val="none"/>
                <w:lang w:val="en-US" w:eastAsia="zh-CN"/>
              </w:rPr>
            </w:pPr>
            <w:r>
              <w:rPr>
                <w:rFonts w:hint="default" w:ascii="Times New Roman" w:hAnsi="Times New Roman" w:eastAsia="仿宋" w:cs="Times New Roman"/>
                <w:kern w:val="0"/>
                <w:szCs w:val="21"/>
                <w:highlight w:val="none"/>
                <w:lang w:eastAsia="zh-CN"/>
              </w:rPr>
              <w:t>202</w:t>
            </w:r>
            <w:r>
              <w:rPr>
                <w:rFonts w:hint="default" w:ascii="Times New Roman" w:hAnsi="Times New Roman" w:eastAsia="仿宋" w:cs="Times New Roman"/>
                <w:kern w:val="0"/>
                <w:szCs w:val="21"/>
                <w:highlight w:val="none"/>
                <w:lang w:val="en-US" w:eastAsia="zh-CN"/>
              </w:rPr>
              <w:t>5</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6</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3</w:t>
            </w:r>
            <w:r>
              <w:rPr>
                <w:rFonts w:hint="default" w:ascii="Times New Roman" w:hAnsi="Times New Roman" w:eastAsia="仿宋" w:cs="Times New Roman"/>
                <w:kern w:val="0"/>
                <w:szCs w:val="21"/>
              </w:rPr>
              <w:t>~</w:t>
            </w:r>
          </w:p>
          <w:p w14:paraId="03804F7A">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highlight w:val="none"/>
                <w:lang w:eastAsia="zh-CN"/>
              </w:rPr>
              <w:t>202</w:t>
            </w:r>
            <w:r>
              <w:rPr>
                <w:rFonts w:hint="default" w:ascii="Times New Roman" w:hAnsi="Times New Roman" w:eastAsia="仿宋" w:cs="Times New Roman"/>
                <w:kern w:val="0"/>
                <w:szCs w:val="21"/>
                <w:highlight w:val="none"/>
                <w:lang w:val="en-US" w:eastAsia="zh-CN"/>
              </w:rPr>
              <w:t>5</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6</w:t>
            </w:r>
            <w:r>
              <w:rPr>
                <w:rFonts w:hint="default" w:ascii="Times New Roman" w:hAnsi="Times New Roman" w:eastAsia="仿宋" w:cs="Times New Roman"/>
                <w:kern w:val="0"/>
                <w:szCs w:val="21"/>
                <w:highlight w:val="none"/>
              </w:rPr>
              <w:t>.</w:t>
            </w:r>
            <w:r>
              <w:rPr>
                <w:rFonts w:hint="default" w:ascii="Times New Roman" w:hAnsi="Times New Roman" w:eastAsia="仿宋" w:cs="Times New Roman"/>
                <w:kern w:val="0"/>
                <w:szCs w:val="21"/>
                <w:highlight w:val="none"/>
                <w:lang w:val="en-US" w:eastAsia="zh-CN"/>
              </w:rPr>
              <w:t>28</w:t>
            </w:r>
          </w:p>
        </w:tc>
        <w:tc>
          <w:tcPr>
            <w:tcW w:w="4549" w:type="dxa"/>
            <w:noWrap w:val="0"/>
            <w:vAlign w:val="center"/>
          </w:tcPr>
          <w:p w14:paraId="552B91A9">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对州本级项目开展桥隧工程质量安全进行专项监督检查。桥隧专项监督检查针对技术难度大、施工复杂、高风险的桥梁、隧道全覆盖进行。</w:t>
            </w:r>
          </w:p>
        </w:tc>
        <w:tc>
          <w:tcPr>
            <w:tcW w:w="1121" w:type="dxa"/>
            <w:noWrap w:val="0"/>
            <w:vAlign w:val="center"/>
          </w:tcPr>
          <w:p w14:paraId="7326CDAE">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14:paraId="3B3D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43" w:type="dxa"/>
            <w:noWrap w:val="0"/>
            <w:vAlign w:val="center"/>
          </w:tcPr>
          <w:p w14:paraId="404D07C8">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5</w:t>
            </w:r>
          </w:p>
        </w:tc>
        <w:tc>
          <w:tcPr>
            <w:tcW w:w="1065" w:type="dxa"/>
            <w:vMerge w:val="continue"/>
            <w:noWrap w:val="0"/>
            <w:vAlign w:val="center"/>
          </w:tcPr>
          <w:p w14:paraId="5C37718C">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14:paraId="731587A0">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1</w:t>
            </w:r>
            <w:r>
              <w:rPr>
                <w:rFonts w:hint="default" w:ascii="Times New Roman" w:hAnsi="Times New Roman" w:eastAsia="仿宋" w:cs="Times New Roman"/>
                <w:kern w:val="0"/>
                <w:szCs w:val="21"/>
              </w:rPr>
              <w:t>~</w:t>
            </w:r>
          </w:p>
          <w:p w14:paraId="27C8AB9E">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w:t>
            </w:r>
            <w:r>
              <w:rPr>
                <w:rFonts w:hint="default" w:ascii="Times New Roman" w:hAnsi="Times New Roman" w:eastAsia="仿宋" w:cs="Times New Roman"/>
                <w:kern w:val="0"/>
                <w:szCs w:val="21"/>
                <w:lang w:val="en-US" w:eastAsia="zh-CN"/>
              </w:rPr>
              <w:t>5</w:t>
            </w:r>
            <w:r>
              <w:rPr>
                <w:rFonts w:hint="default" w:ascii="Times New Roman" w:hAnsi="Times New Roman" w:eastAsia="仿宋" w:cs="Times New Roman"/>
                <w:kern w:val="0"/>
                <w:szCs w:val="21"/>
              </w:rPr>
              <w:t>.9.</w:t>
            </w:r>
            <w:r>
              <w:rPr>
                <w:rFonts w:hint="default" w:ascii="Times New Roman" w:hAnsi="Times New Roman" w:eastAsia="仿宋" w:cs="Times New Roman"/>
                <w:kern w:val="0"/>
                <w:szCs w:val="21"/>
                <w:lang w:val="en-US" w:eastAsia="zh-CN"/>
              </w:rPr>
              <w:t>2</w:t>
            </w:r>
            <w:r>
              <w:rPr>
                <w:rFonts w:hint="eastAsia" w:ascii="Times New Roman" w:hAnsi="Times New Roman" w:eastAsia="仿宋" w:cs="Times New Roman"/>
                <w:kern w:val="0"/>
                <w:szCs w:val="21"/>
                <w:lang w:val="en-US" w:eastAsia="zh-CN"/>
              </w:rPr>
              <w:t>6</w:t>
            </w:r>
          </w:p>
        </w:tc>
        <w:tc>
          <w:tcPr>
            <w:tcW w:w="4549" w:type="dxa"/>
            <w:noWrap w:val="0"/>
            <w:vAlign w:val="center"/>
          </w:tcPr>
          <w:p w14:paraId="6A2F821F">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Cs w:val="21"/>
                <w:lang w:val="en-US" w:eastAsia="zh-CN"/>
              </w:rPr>
            </w:pPr>
            <w:r>
              <w:rPr>
                <w:rFonts w:hint="default" w:ascii="Times New Roman" w:hAnsi="Times New Roman" w:eastAsia="仿宋" w:cs="Times New Roman"/>
                <w:color w:val="000000"/>
                <w:kern w:val="0"/>
                <w:szCs w:val="21"/>
              </w:rPr>
              <w:t>对县市公路质量监督机构进行第二次服务指导，抽检并抽检县市重要农村公路及危桥建设项目，原则上不与第一次抽检的项目重复。</w:t>
            </w:r>
          </w:p>
        </w:tc>
        <w:tc>
          <w:tcPr>
            <w:tcW w:w="1121" w:type="dxa"/>
            <w:noWrap w:val="0"/>
            <w:vAlign w:val="center"/>
          </w:tcPr>
          <w:p w14:paraId="1F88A7EC">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与年终综合监督检查合并进行</w:t>
            </w:r>
          </w:p>
        </w:tc>
      </w:tr>
      <w:tr w14:paraId="1133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14:paraId="10D5AC62">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6</w:t>
            </w:r>
          </w:p>
        </w:tc>
        <w:tc>
          <w:tcPr>
            <w:tcW w:w="1065" w:type="dxa"/>
            <w:vMerge w:val="continue"/>
            <w:noWrap w:val="0"/>
            <w:vAlign w:val="center"/>
          </w:tcPr>
          <w:p w14:paraId="01A611F2">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14:paraId="08858109">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kern w:val="0"/>
                <w:szCs w:val="21"/>
              </w:rPr>
            </w:pPr>
            <w:r>
              <w:rPr>
                <w:rFonts w:hint="default" w:ascii="Times New Roman" w:hAnsi="Times New Roman" w:eastAsia="仿宋" w:cs="Times New Roman"/>
                <w:kern w:val="0"/>
                <w:szCs w:val="21"/>
                <w:lang w:eastAsia="zh-CN"/>
              </w:rPr>
              <w:t>2024</w:t>
            </w:r>
            <w:r>
              <w:rPr>
                <w:rFonts w:hint="default" w:ascii="Times New Roman" w:hAnsi="Times New Roman" w:eastAsia="仿宋" w:cs="Times New Roman"/>
                <w:kern w:val="0"/>
                <w:szCs w:val="21"/>
              </w:rPr>
              <w:t>.11.10~</w:t>
            </w:r>
          </w:p>
          <w:p w14:paraId="62FBCAE3">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kern w:val="0"/>
                <w:szCs w:val="21"/>
                <w:lang w:eastAsia="zh-CN"/>
              </w:rPr>
              <w:t>2024</w:t>
            </w:r>
            <w:r>
              <w:rPr>
                <w:rFonts w:hint="default" w:ascii="Times New Roman" w:hAnsi="Times New Roman" w:eastAsia="仿宋" w:cs="Times New Roman"/>
                <w:kern w:val="0"/>
                <w:szCs w:val="21"/>
              </w:rPr>
              <w:t>.11.20</w:t>
            </w:r>
          </w:p>
        </w:tc>
        <w:tc>
          <w:tcPr>
            <w:tcW w:w="4549" w:type="dxa"/>
            <w:noWrap w:val="0"/>
            <w:vAlign w:val="center"/>
          </w:tcPr>
          <w:p w14:paraId="1B5DD3F0">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Cs w:val="21"/>
              </w:rPr>
              <w:t>开展州本级项目各工地临时试验检测机构信用采集专项工作。</w:t>
            </w:r>
          </w:p>
        </w:tc>
        <w:tc>
          <w:tcPr>
            <w:tcW w:w="1121" w:type="dxa"/>
            <w:noWrap w:val="0"/>
            <w:vAlign w:val="center"/>
          </w:tcPr>
          <w:p w14:paraId="28D259B0">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14:paraId="29D8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14:paraId="330CD4A9">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7</w:t>
            </w:r>
          </w:p>
        </w:tc>
        <w:tc>
          <w:tcPr>
            <w:tcW w:w="1065" w:type="dxa"/>
            <w:vMerge w:val="continue"/>
            <w:noWrap w:val="0"/>
            <w:vAlign w:val="center"/>
          </w:tcPr>
          <w:p w14:paraId="03A28220">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14:paraId="243030F9">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机动安排</w:t>
            </w:r>
          </w:p>
        </w:tc>
        <w:tc>
          <w:tcPr>
            <w:tcW w:w="4549" w:type="dxa"/>
            <w:noWrap w:val="0"/>
            <w:vAlign w:val="center"/>
          </w:tcPr>
          <w:p w14:paraId="06113E6F">
            <w:pPr>
              <w:keepNext w:val="0"/>
              <w:keepLines w:val="0"/>
              <w:pageBreakBefore w:val="0"/>
              <w:widowControl w:val="0"/>
              <w:kinsoku/>
              <w:wordWrap/>
              <w:overflowPunct/>
              <w:topLinePunct w:val="0"/>
              <w:autoSpaceDE/>
              <w:autoSpaceDN/>
              <w:bidi w:val="0"/>
              <w:adjustRightInd/>
              <w:snapToGrid/>
              <w:spacing w:beforeAutospacing="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缺陷责任期“回头看”</w:t>
            </w:r>
          </w:p>
        </w:tc>
        <w:tc>
          <w:tcPr>
            <w:tcW w:w="1121" w:type="dxa"/>
            <w:noWrap w:val="0"/>
            <w:vAlign w:val="center"/>
          </w:tcPr>
          <w:p w14:paraId="7A552D7D">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r w14:paraId="128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3" w:type="dxa"/>
            <w:noWrap w:val="0"/>
            <w:vAlign w:val="center"/>
          </w:tcPr>
          <w:p w14:paraId="21574954">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eastAsia" w:ascii="Times New Roman" w:hAnsi="Times New Roman" w:eastAsia="仿宋" w:cs="Times New Roman"/>
                <w:kern w:val="0"/>
                <w:szCs w:val="21"/>
                <w:lang w:val="en-US" w:eastAsia="zh-CN"/>
              </w:rPr>
              <w:t>8</w:t>
            </w:r>
          </w:p>
        </w:tc>
        <w:tc>
          <w:tcPr>
            <w:tcW w:w="1065" w:type="dxa"/>
            <w:vMerge w:val="continue"/>
            <w:noWrap w:val="0"/>
            <w:vAlign w:val="center"/>
          </w:tcPr>
          <w:p w14:paraId="560C8A60">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vertAlign w:val="baseline"/>
              </w:rPr>
            </w:pPr>
          </w:p>
        </w:tc>
        <w:tc>
          <w:tcPr>
            <w:tcW w:w="1470" w:type="dxa"/>
            <w:noWrap w:val="0"/>
            <w:vAlign w:val="center"/>
          </w:tcPr>
          <w:p w14:paraId="67597A66">
            <w:pPr>
              <w:pStyle w:val="7"/>
              <w:keepNext w:val="0"/>
              <w:keepLines w:val="0"/>
              <w:pageBreakBefore w:val="0"/>
              <w:widowControl w:val="0"/>
              <w:kinsoku/>
              <w:wordWrap/>
              <w:overflowPunct/>
              <w:topLinePunct w:val="0"/>
              <w:autoSpaceDE/>
              <w:autoSpaceDN/>
              <w:bidi w:val="0"/>
              <w:adjustRightInd/>
              <w:snapToGrid/>
              <w:spacing w:before="0" w:beforeAutospacing="0" w:after="0" w:line="300" w:lineRule="exact"/>
              <w:ind w:left="0" w:leftChars="0" w:firstLine="0" w:firstLineChars="0"/>
              <w:jc w:val="center"/>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机动安排</w:t>
            </w:r>
          </w:p>
        </w:tc>
        <w:tc>
          <w:tcPr>
            <w:tcW w:w="4549" w:type="dxa"/>
            <w:noWrap w:val="0"/>
            <w:vAlign w:val="center"/>
          </w:tcPr>
          <w:p w14:paraId="0FD2B4F8">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eastAsia="仿宋" w:cs="Times New Roman"/>
                <w:color w:val="000000"/>
                <w:kern w:val="0"/>
                <w:sz w:val="21"/>
                <w:szCs w:val="21"/>
                <w:lang w:val="en-US" w:eastAsia="zh-CN" w:bidi="ar-SA"/>
              </w:rPr>
            </w:pPr>
            <w:r>
              <w:rPr>
                <w:rFonts w:hint="default" w:ascii="Times New Roman" w:hAnsi="Times New Roman" w:eastAsia="仿宋" w:cs="Times New Roman"/>
                <w:color w:val="000000"/>
                <w:kern w:val="0"/>
                <w:sz w:val="21"/>
                <w:szCs w:val="21"/>
                <w:lang w:val="en-US" w:eastAsia="zh-CN" w:bidi="ar-SA"/>
              </w:rPr>
              <w:t>完成好州局临时安排的专项监督检查任务</w:t>
            </w:r>
          </w:p>
        </w:tc>
        <w:tc>
          <w:tcPr>
            <w:tcW w:w="1121" w:type="dxa"/>
            <w:noWrap w:val="0"/>
            <w:vAlign w:val="center"/>
          </w:tcPr>
          <w:p w14:paraId="21EF8C2B">
            <w:pPr>
              <w:pStyle w:val="7"/>
              <w:keepNext w:val="0"/>
              <w:keepLines w:val="0"/>
              <w:pageBreakBefore w:val="0"/>
              <w:widowControl w:val="0"/>
              <w:kinsoku/>
              <w:wordWrap/>
              <w:overflowPunct/>
              <w:topLinePunct w:val="0"/>
              <w:autoSpaceDE/>
              <w:autoSpaceDN/>
              <w:bidi w:val="0"/>
              <w:adjustRightInd/>
              <w:snapToGrid/>
              <w:spacing w:before="0" w:beforeAutospacing="0" w:after="0" w:line="240" w:lineRule="exact"/>
              <w:ind w:left="0" w:leftChars="0" w:firstLine="0" w:firstLineChars="0"/>
              <w:jc w:val="both"/>
              <w:textAlignment w:val="auto"/>
              <w:rPr>
                <w:rFonts w:hint="default" w:ascii="Times New Roman" w:hAnsi="Times New Roman" w:cs="Times New Roman"/>
                <w:vertAlign w:val="baseline"/>
              </w:rPr>
            </w:pPr>
          </w:p>
        </w:tc>
      </w:tr>
    </w:tbl>
    <w:p w14:paraId="734E1E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rPr>
        <w:t>专项整治检查</w:t>
      </w:r>
      <w:r>
        <w:rPr>
          <w:rFonts w:hint="eastAsia" w:ascii="仿宋_GB2312" w:hAnsi="仿宋_GB2312" w:eastAsia="仿宋_GB2312" w:cs="仿宋_GB2312"/>
          <w:b/>
          <w:bCs/>
          <w:i w:val="0"/>
          <w:iCs w:val="0"/>
          <w:caps w:val="0"/>
          <w:color w:val="auto"/>
          <w:spacing w:val="0"/>
          <w:sz w:val="32"/>
          <w:szCs w:val="32"/>
          <w:shd w:val="clear" w:color="auto" w:fill="FFFFFF"/>
        </w:rPr>
        <w:t>（贯穿全年）</w:t>
      </w:r>
      <w:r>
        <w:rPr>
          <w:rFonts w:hint="eastAsia" w:ascii="仿宋_GB2312" w:hAnsi="仿宋_GB2312" w:eastAsia="仿宋_GB2312" w:cs="仿宋_GB2312"/>
          <w:i w:val="0"/>
          <w:iCs w:val="0"/>
          <w:caps w:val="0"/>
          <w:color w:val="auto"/>
          <w:spacing w:val="0"/>
          <w:sz w:val="32"/>
          <w:szCs w:val="32"/>
          <w:shd w:val="clear" w:color="auto" w:fill="FFFFFF"/>
        </w:rPr>
        <w:t>。根据</w:t>
      </w:r>
      <w:r>
        <w:rPr>
          <w:rFonts w:hint="eastAsia" w:ascii="仿宋_GB2312" w:hAnsi="仿宋_GB2312" w:eastAsia="仿宋_GB2312" w:cs="仿宋_GB2312"/>
          <w:i w:val="0"/>
          <w:iCs w:val="0"/>
          <w:caps w:val="0"/>
          <w:color w:val="auto"/>
          <w:spacing w:val="0"/>
          <w:sz w:val="32"/>
          <w:szCs w:val="32"/>
          <w:shd w:val="clear" w:color="auto" w:fill="FFFFFF"/>
          <w:lang w:eastAsia="zh-CN"/>
        </w:rPr>
        <w:t>伊犁州党委、政府</w:t>
      </w:r>
      <w:r>
        <w:rPr>
          <w:rFonts w:hint="eastAsia" w:ascii="仿宋_GB2312" w:hAnsi="仿宋_GB2312" w:eastAsia="仿宋_GB2312" w:cs="仿宋_GB2312"/>
          <w:i w:val="0"/>
          <w:iCs w:val="0"/>
          <w:caps w:val="0"/>
          <w:color w:val="auto"/>
          <w:spacing w:val="0"/>
          <w:sz w:val="32"/>
          <w:szCs w:val="32"/>
          <w:shd w:val="clear" w:color="auto" w:fill="FFFFFF"/>
        </w:rPr>
        <w:t>统一安排，对各县市</w:t>
      </w:r>
      <w:r>
        <w:rPr>
          <w:rFonts w:hint="eastAsia" w:ascii="仿宋_GB2312" w:hAnsi="仿宋_GB2312" w:eastAsia="仿宋_GB2312" w:cs="仿宋_GB2312"/>
          <w:i w:val="0"/>
          <w:iCs w:val="0"/>
          <w:caps w:val="0"/>
          <w:color w:val="auto"/>
          <w:spacing w:val="0"/>
          <w:sz w:val="32"/>
          <w:szCs w:val="32"/>
          <w:shd w:val="clear" w:color="auto" w:fill="FFFFFF"/>
          <w:lang w:eastAsia="zh-CN"/>
        </w:rPr>
        <w:t>交通领域</w:t>
      </w:r>
      <w:r>
        <w:rPr>
          <w:rFonts w:hint="eastAsia" w:ascii="仿宋_GB2312" w:hAnsi="仿宋_GB2312" w:eastAsia="仿宋_GB2312" w:cs="仿宋_GB2312"/>
          <w:i w:val="0"/>
          <w:iCs w:val="0"/>
          <w:caps w:val="0"/>
          <w:color w:val="auto"/>
          <w:spacing w:val="0"/>
          <w:sz w:val="32"/>
          <w:szCs w:val="32"/>
          <w:shd w:val="clear" w:color="auto" w:fill="FFFFFF"/>
        </w:rPr>
        <w:t>开展的各项安全生产专项整治活动</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不定期进行“四不两直”、明查暗访，确保圆满完成各项专项整治工作任务</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135DE331">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四、“双随机、一公开”检查</w:t>
      </w:r>
    </w:p>
    <w:p w14:paraId="488643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严格按照法律法规规章明确的职权范围，制定随机抽查事项清单，明确抽查依据、抽查主体、抽查内容、抽查方式，</w:t>
      </w:r>
      <w:r>
        <w:rPr>
          <w:rStyle w:val="11"/>
          <w:rFonts w:hint="eastAsia" w:ascii="仿宋_GB2312" w:hAnsi="仿宋_GB2312" w:eastAsia="仿宋_GB2312" w:cs="仿宋_GB2312"/>
          <w:b w:val="0"/>
          <w:bCs w:val="0"/>
          <w:sz w:val="32"/>
          <w:szCs w:val="32"/>
          <w:lang w:eastAsia="zh-CN"/>
        </w:rPr>
        <w:t>将法律、法规、规章规定需要监管的检查对象全部纳入，</w:t>
      </w:r>
      <w:r>
        <w:rPr>
          <w:rFonts w:hint="eastAsia" w:ascii="仿宋_GB2312" w:hAnsi="仿宋_GB2312" w:eastAsia="仿宋_GB2312" w:cs="仿宋_GB2312"/>
          <w:i w:val="0"/>
          <w:iCs w:val="0"/>
          <w:caps w:val="0"/>
          <w:color w:val="auto"/>
          <w:spacing w:val="0"/>
          <w:sz w:val="32"/>
          <w:szCs w:val="32"/>
          <w:shd w:val="clear" w:color="auto" w:fill="FFFFFF"/>
          <w:lang w:eastAsia="zh-CN"/>
        </w:rPr>
        <w:t>对于法律法规规章有关规定的，按规定实施；法律法规规章没有规定的，随机抽查比例原则上不低于辖区内市场主体的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5%，抽查频率原则上每年不少于2次。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BF3C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EEF2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EEF2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MzI2OWI2ZDE2Mjc0YTZkOTBiYmQ0YzY0MmExYzcifQ=="/>
  </w:docVars>
  <w:rsids>
    <w:rsidRoot w:val="65CF2C5A"/>
    <w:rsid w:val="182706F1"/>
    <w:rsid w:val="1AFC4227"/>
    <w:rsid w:val="1BE97DD8"/>
    <w:rsid w:val="313860FA"/>
    <w:rsid w:val="32C2617F"/>
    <w:rsid w:val="35002CD7"/>
    <w:rsid w:val="45985B5A"/>
    <w:rsid w:val="4A577766"/>
    <w:rsid w:val="4DCF06D9"/>
    <w:rsid w:val="56A854CB"/>
    <w:rsid w:val="586E207E"/>
    <w:rsid w:val="5CB67615"/>
    <w:rsid w:val="65CF2C5A"/>
    <w:rsid w:val="671356C8"/>
    <w:rsid w:val="729C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418" w:lineRule="auto"/>
      <w:ind w:firstLine="400"/>
      <w:jc w:val="both"/>
    </w:pPr>
    <w:rPr>
      <w:rFonts w:hint="eastAsia" w:ascii="宋体" w:hAnsi="宋体" w:eastAsia="宋体" w:cs="Times New Roman"/>
      <w:kern w:val="2"/>
      <w:sz w:val="17"/>
      <w:szCs w:val="24"/>
      <w:lang w:val="zh-CN" w:eastAsia="zh-CN" w:bidi="ar-SA"/>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Web)"/>
    <w:basedOn w:val="1"/>
    <w:next w:val="1"/>
    <w:qFormat/>
    <w:uiPriority w:val="0"/>
    <w:pPr>
      <w:spacing w:beforeAutospacing="1" w:afterAutospacing="1"/>
      <w:jc w:val="left"/>
    </w:pPr>
    <w:rPr>
      <w:rFonts w:ascii="Calibri" w:hAnsi="Calibri" w:eastAsia="宋体" w:cs="Times New Roman"/>
      <w:kern w:val="0"/>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2"/>
    <w:qFormat/>
    <w:uiPriority w:val="0"/>
    <w:pPr>
      <w:spacing w:before="100" w:beforeAutospacing="1"/>
      <w:ind w:firstLine="420"/>
    </w:pPr>
    <w:rPr>
      <w:rFonts w:ascii="仿宋_GB2312" w:hAnsi="Calibri" w:eastAsia="仿宋_GB2312" w:cs="Times New Roman"/>
      <w:color w:val="000000"/>
      <w:szCs w:val="32"/>
    </w:rPr>
  </w:style>
  <w:style w:type="table" w:styleId="9">
    <w:name w:val="Table Grid"/>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3093</Words>
  <Characters>3273</Characters>
  <Lines>0</Lines>
  <Paragraphs>0</Paragraphs>
  <TotalTime>51</TotalTime>
  <ScaleCrop>false</ScaleCrop>
  <LinksUpToDate>false</LinksUpToDate>
  <CharactersWithSpaces>3273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温小晨</dc:creator>
  <cp:lastModifiedBy>Administrator</cp:lastModifiedBy>
  <cp:lastPrinted>2025-07-30T02:33:15Z</cp:lastPrinted>
  <dcterms:modified xsi:type="dcterms:W3CDTF">2025-07-30T03:36:34Z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18ADA4DAFD814A53BE544B0E84B33345</vt:lpwstr>
  </property>
  <property fmtid="{D5CDD505-2E9C-101B-9397-08002B2CF9AE}" pid="4" name="KSOTemplateDocerSaveRecord">
    <vt:lpwstr>eyJoZGlkIjoiYjI3N2Y4MzE4ZmY4M2QwMmJhYmVmNzk5MWU3Zjc3ODkifQ==</vt:lpwstr>
  </property>
</Properties>
</file>