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10972">
      <w:pPr>
        <w:jc w:val="center"/>
        <w:rPr>
          <w:rFonts w:hint="eastAsia" w:ascii="仿宋" w:hAnsi="仿宋" w:eastAsia="仿宋" w:cs="仿宋"/>
          <w:sz w:val="32"/>
          <w:szCs w:val="32"/>
        </w:rPr>
      </w:pPr>
      <w:r>
        <w:rPr>
          <w:rFonts w:hint="eastAsia" w:ascii="方正小标宋简体" w:hAnsi="方正小标宋简体" w:eastAsia="方正小标宋简体" w:cs="方正小标宋简体"/>
          <w:sz w:val="32"/>
          <w:szCs w:val="32"/>
          <w:lang w:val="en-US" w:eastAsia="zh-CN"/>
        </w:rPr>
        <w:t>特克斯县</w:t>
      </w:r>
      <w:r>
        <w:rPr>
          <w:rFonts w:hint="eastAsia" w:ascii="方正小标宋简体" w:hAnsi="方正小标宋简体" w:eastAsia="方正小标宋简体" w:cs="方正小标宋简体"/>
          <w:sz w:val="32"/>
          <w:szCs w:val="32"/>
        </w:rPr>
        <w:t>国有建设用地使用权挂牌出让须知</w:t>
      </w:r>
    </w:p>
    <w:p w14:paraId="5FA65A4F">
      <w:pPr>
        <w:jc w:val="center"/>
        <w:rPr>
          <w:rFonts w:hint="default" w:ascii="方正仿宋简体" w:hAnsi="方正仿宋简体" w:eastAsia="方正仿宋简体" w:cs="方正仿宋简体"/>
          <w:color w:val="000000" w:themeColor="text1"/>
          <w:sz w:val="32"/>
          <w:szCs w:val="32"/>
          <w:lang w:val="en-US"/>
          <w14:textFill>
            <w14:solidFill>
              <w14:schemeClr w14:val="tx1"/>
            </w14:solidFill>
          </w14:textFill>
        </w:rPr>
      </w:pPr>
      <w:r>
        <w:rPr>
          <w:rFonts w:hint="eastAsia" w:ascii="Times New Roman" w:hAnsi="Times New Roman" w:eastAsia="方正仿宋简体" w:cs="Times New Roman"/>
          <w:color w:val="auto"/>
          <w:sz w:val="32"/>
          <w:szCs w:val="32"/>
          <w:lang w:val="en-US" w:eastAsia="zh-CN"/>
        </w:rPr>
        <w:t>编号：特公告字[2026]20号</w:t>
      </w:r>
      <w:r>
        <w:rPr>
          <w:rFonts w:hint="eastAsia" w:ascii="Times New Roman" w:hAnsi="Times New Roman" w:eastAsia="方正仿宋简体" w:cs="Times New Roman"/>
          <w:color w:val="auto"/>
          <w:sz w:val="32"/>
          <w:szCs w:val="32"/>
          <w:lang w:val="en-US" w:eastAsia="zh-CN"/>
        </w:rPr>
        <w:t>（特挂2026-38、40、41号）</w:t>
      </w:r>
    </w:p>
    <w:p w14:paraId="0462A5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73E461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一、竞买人资格确认</w:t>
      </w:r>
    </w:p>
    <w:p w14:paraId="1ADF8F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1.竞买人需符合《</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w:t>
      </w:r>
      <w:r>
        <w:rPr>
          <w:rFonts w:hint="eastAsia" w:ascii="方正仿宋简体" w:hAnsi="方正仿宋简体" w:eastAsia="方正仿宋简体" w:cs="方正仿宋简体"/>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1EA279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60FC63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3.竞买人提交的申请材料（营业执照、身份证明</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（法人、自然人、委托代理人、委托书</w:t>
      </w:r>
      <w:r>
        <w:rPr>
          <w:rFonts w:hint="eastAsia" w:ascii="方正仿宋简体" w:hAnsi="方正仿宋简体" w:eastAsia="方正仿宋简体" w:cs="方正仿宋简体"/>
          <w:color w:val="000000" w:themeColor="text1"/>
          <w:sz w:val="32"/>
          <w:szCs w:val="32"/>
          <w14:textFill>
            <w14:solidFill>
              <w14:schemeClr w14:val="tx1"/>
            </w14:solidFill>
          </w14:textFill>
        </w:rPr>
        <w:t>、资</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信</w:t>
      </w:r>
      <w:r>
        <w:rPr>
          <w:rFonts w:hint="eastAsia" w:ascii="方正仿宋简体" w:hAnsi="方正仿宋简体" w:eastAsia="方正仿宋简体" w:cs="方正仿宋简体"/>
          <w:color w:val="000000" w:themeColor="text1"/>
          <w:sz w:val="32"/>
          <w:szCs w:val="32"/>
          <w14:textFill>
            <w14:solidFill>
              <w14:schemeClr w14:val="tx1"/>
            </w14:solidFill>
          </w14:textFill>
        </w:rPr>
        <w:t>证明、</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企业信用报告</w:t>
      </w:r>
      <w:r>
        <w:rPr>
          <w:rFonts w:hint="eastAsia" w:ascii="方正仿宋简体" w:hAnsi="方正仿宋简体" w:eastAsia="方正仿宋简体" w:cs="方正仿宋简体"/>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2B72A7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4.资格审查由</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伊犁州</w:t>
      </w:r>
      <w:r>
        <w:rPr>
          <w:rFonts w:hint="eastAsia" w:ascii="方正仿宋简体" w:hAnsi="方正仿宋简体" w:eastAsia="方正仿宋简体" w:cs="方正仿宋简体"/>
          <w:color w:val="000000" w:themeColor="text1"/>
          <w:sz w:val="32"/>
          <w:szCs w:val="32"/>
          <w14:textFill>
            <w14:solidFill>
              <w14:schemeClr w14:val="tx1"/>
            </w14:solidFill>
          </w14:textFill>
        </w:rPr>
        <w:t>公共资源交易中心会同</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14:textFill>
            <w14:solidFill>
              <w14:schemeClr w14:val="tx1"/>
            </w14:solidFill>
          </w14:textFill>
        </w:rPr>
        <w:t>自然资源局共同完成，审查结果以《竞买资格确认书》为准，审查不合格者不得参与竞价。</w:t>
      </w:r>
    </w:p>
    <w:p w14:paraId="008BCA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二、出让文件获取与地块踏勘 </w:t>
      </w:r>
    </w:p>
    <w:p w14:paraId="536F6C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1.竞买人可自</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10</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4</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方正仿宋简体" w:hAnsi="方正仿宋简体" w:eastAsia="方正仿宋简体" w:cs="方正仿宋简体"/>
          <w:color w:val="000000" w:themeColor="text1"/>
          <w:sz w:val="32"/>
          <w:szCs w:val="32"/>
          <w14:textFill>
            <w14:solidFill>
              <w14:schemeClr w14:val="tx1"/>
            </w14:solidFill>
          </w14:textFill>
        </w:rPr>
        <w:t>，通过</w:t>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伊犁州公共资源电子交易系统（网址：</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begin"/>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instrText xml:space="preserve"> HYPERLINK "http://222.81.52.3)进行报名，申请人需上传本人身份证复印件或授权委托书及委托人身份证复印件、在新源县行政区域内注册" </w:instrTex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separate"/>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https://ggzy.xjyl.gov.cn/)</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end"/>
      </w:r>
      <w:r>
        <w:rPr>
          <w:rFonts w:hint="eastAsia" w:ascii="方正仿宋简体" w:hAnsi="方正仿宋简体" w:eastAsia="方正仿宋简体" w:cs="方正仿宋简体"/>
          <w:color w:val="000000" w:themeColor="text1"/>
          <w:sz w:val="32"/>
          <w:szCs w:val="32"/>
          <w14:textFill>
            <w14:solidFill>
              <w14:schemeClr w14:val="tx1"/>
            </w14:solidFill>
          </w14:textFill>
        </w:rPr>
        <w:t>下载</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挂牌出让</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相关资料。</w:t>
      </w:r>
    </w:p>
    <w:p w14:paraId="7B7E02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68CBA9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三、竞买申请与保证金缴纳</w:t>
      </w:r>
    </w:p>
    <w:p w14:paraId="3023E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1.竞买人需在</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方正仿宋简体" w:hAnsi="方正仿宋简体" w:eastAsia="方正仿宋简体" w:cs="方正仿宋简体"/>
          <w:color w:val="000000" w:themeColor="text1"/>
          <w:sz w:val="32"/>
          <w:szCs w:val="32"/>
          <w14:textFill>
            <w14:solidFill>
              <w14:schemeClr w14:val="tx1"/>
            </w14:solidFill>
          </w14:textFill>
        </w:rPr>
        <w:t>前，</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在</w:t>
      </w:r>
      <w:r>
        <w:rPr>
          <w:rFonts w:hint="eastAsia" w:ascii="方正仿宋简体" w:hAnsi="方正仿宋简体" w:eastAsia="方正仿宋简体" w:cs="方正仿宋简体"/>
          <w:color w:val="000000" w:themeColor="text1"/>
          <w:sz w:val="32"/>
          <w:szCs w:val="32"/>
          <w14:textFill>
            <w14:solidFill>
              <w14:schemeClr w14:val="tx1"/>
            </w14:solidFill>
          </w14:textFill>
        </w:rPr>
        <w:t>交易</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平台</w:t>
      </w:r>
      <w:r>
        <w:rPr>
          <w:rFonts w:hint="eastAsia" w:ascii="方正仿宋简体" w:hAnsi="方正仿宋简体" w:eastAsia="方正仿宋简体" w:cs="方正仿宋简体"/>
          <w:color w:val="000000" w:themeColor="text1"/>
          <w:sz w:val="32"/>
          <w:szCs w:val="32"/>
          <w14:textFill>
            <w14:solidFill>
              <w14:schemeClr w14:val="tx1"/>
            </w14:solidFill>
          </w14:textFill>
        </w:rPr>
        <w:t>提交《竞买申请书》及相关</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报名</w:t>
      </w:r>
      <w:r>
        <w:rPr>
          <w:rFonts w:hint="eastAsia" w:ascii="方正仿宋简体" w:hAnsi="方正仿宋简体" w:eastAsia="方正仿宋简体" w:cs="方正仿宋简体"/>
          <w:color w:val="000000" w:themeColor="text1"/>
          <w:sz w:val="32"/>
          <w:szCs w:val="32"/>
          <w14:textFill>
            <w14:solidFill>
              <w14:schemeClr w14:val="tx1"/>
            </w14:solidFill>
          </w14:textFill>
        </w:rPr>
        <w:t>材料，逾期提交视为无效申请。</w:t>
      </w:r>
    </w:p>
    <w:p w14:paraId="7729F4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2.竞买保证金缴纳标准按《</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w:t>
      </w:r>
      <w:r>
        <w:rPr>
          <w:rFonts w:hint="eastAsia" w:ascii="方正仿宋简体" w:hAnsi="方正仿宋简体" w:eastAsia="方正仿宋简体" w:cs="方正仿宋简体"/>
          <w:color w:val="000000" w:themeColor="text1"/>
          <w:sz w:val="32"/>
          <w:szCs w:val="32"/>
          <w14:textFill>
            <w14:solidFill>
              <w14:schemeClr w14:val="tx1"/>
            </w14:solidFill>
          </w14:textFill>
        </w:rPr>
        <w:t>资源局国有土地使用权挂牌出让公告》执行，竞买人需在</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2026年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12</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京时18时</w:t>
      </w:r>
      <w:r>
        <w:rPr>
          <w:rFonts w:hint="eastAsia" w:ascii="方正仿宋简体" w:hAnsi="方正仿宋简体" w:eastAsia="方正仿宋简体" w:cs="方正仿宋简体"/>
          <w:color w:val="000000" w:themeColor="text1"/>
          <w:sz w:val="32"/>
          <w:szCs w:val="32"/>
          <w14:textFill>
            <w14:solidFill>
              <w14:schemeClr w14:val="tx1"/>
            </w14:solidFill>
          </w14:textFill>
        </w:rPr>
        <w:t>前将保证金足额</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交</w:t>
      </w:r>
      <w:r>
        <w:rPr>
          <w:rFonts w:hint="eastAsia" w:ascii="方正仿宋简体" w:hAnsi="方正仿宋简体" w:eastAsia="方正仿宋简体" w:cs="方正仿宋简体"/>
          <w:color w:val="000000" w:themeColor="text1"/>
          <w:sz w:val="32"/>
          <w:szCs w:val="32"/>
          <w14:textFill>
            <w14:solidFill>
              <w14:schemeClr w14:val="tx1"/>
            </w14:solidFill>
          </w14:textFill>
        </w:rPr>
        <w:t>至指定账户（账户名称：</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交易平台自动生成的建设银行虚拟子账户</w:t>
      </w:r>
      <w:r>
        <w:rPr>
          <w:rFonts w:hint="eastAsia" w:ascii="方正仿宋简体" w:hAnsi="方正仿宋简体" w:eastAsia="方正仿宋简体" w:cs="方正仿宋简体"/>
          <w:color w:val="000000" w:themeColor="text1"/>
          <w:sz w:val="32"/>
          <w:szCs w:val="32"/>
          <w14:textFill>
            <w14:solidFill>
              <w14:schemeClr w14:val="tx1"/>
            </w14:solidFill>
          </w14:textFill>
        </w:rPr>
        <w:t>），保证金以银行到账时间为准，逾期未到账的视为未完成申请。</w:t>
      </w:r>
    </w:p>
    <w:p w14:paraId="2C1711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3.保证金缴纳后，竞买人需</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将</w:t>
      </w:r>
      <w:r>
        <w:rPr>
          <w:rFonts w:hint="eastAsia" w:ascii="方正仿宋简体" w:hAnsi="方正仿宋简体" w:eastAsia="方正仿宋简体" w:cs="方正仿宋简体"/>
          <w:color w:val="000000" w:themeColor="text1"/>
          <w:sz w:val="32"/>
          <w:szCs w:val="32"/>
          <w14:textFill>
            <w14:solidFill>
              <w14:schemeClr w14:val="tx1"/>
            </w14:solidFill>
          </w14:textFill>
        </w:rPr>
        <w:t>银行转账凭证</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复印件交至州公共资源</w:t>
      </w:r>
      <w:r>
        <w:rPr>
          <w:rFonts w:hint="eastAsia" w:ascii="方正仿宋简体" w:hAnsi="方正仿宋简体" w:eastAsia="方正仿宋简体" w:cs="方正仿宋简体"/>
          <w:color w:val="000000" w:themeColor="text1"/>
          <w:sz w:val="32"/>
          <w:szCs w:val="32"/>
          <w14:textFill>
            <w14:solidFill>
              <w14:schemeClr w14:val="tx1"/>
            </w14:solidFill>
          </w14:textFill>
        </w:rPr>
        <w:t>交易中心，未按规定缴纳保证金的，不得取得竞买资格。</w:t>
      </w:r>
    </w:p>
    <w:p w14:paraId="7D3334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4.未竞得人的竞买保证金，将在挂牌结束后</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3</w:t>
      </w:r>
      <w:r>
        <w:rPr>
          <w:rFonts w:hint="eastAsia" w:ascii="方正仿宋简体" w:hAnsi="方正仿宋简体" w:eastAsia="方正仿宋简体" w:cs="方正仿宋简体"/>
          <w:color w:val="000000" w:themeColor="text1"/>
          <w:sz w:val="32"/>
          <w:szCs w:val="32"/>
          <w14:textFill>
            <w14:solidFill>
              <w14:schemeClr w14:val="tx1"/>
            </w14:solidFill>
          </w14:textFill>
        </w:rPr>
        <w:t>个工作日内无息退还；竞得人的保证金自动转为</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成交价款</w:t>
      </w:r>
      <w:r>
        <w:rPr>
          <w:rFonts w:hint="eastAsia" w:ascii="方正仿宋简体" w:hAnsi="方正仿宋简体" w:eastAsia="方正仿宋简体" w:cs="方正仿宋简体"/>
          <w:color w:val="000000" w:themeColor="text1"/>
          <w:sz w:val="32"/>
          <w:szCs w:val="32"/>
          <w14:textFill>
            <w14:solidFill>
              <w14:schemeClr w14:val="tx1"/>
            </w14:solidFill>
          </w14:textFill>
        </w:rPr>
        <w:t>。</w:t>
      </w:r>
    </w:p>
    <w:p w14:paraId="203719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四、挂牌竞价规则</w:t>
      </w:r>
    </w:p>
    <w:p w14:paraId="1BA7DD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1.挂牌竞价时间为20</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5</w:t>
      </w:r>
      <w:r>
        <w:rPr>
          <w:rFonts w:hint="eastAsia" w:ascii="方正仿宋简体" w:hAnsi="方正仿宋简体" w:eastAsia="方正仿宋简体" w:cs="方正仿宋简体"/>
          <w:color w:val="000000" w:themeColor="text1"/>
          <w:sz w:val="32"/>
          <w:szCs w:val="32"/>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16</w:t>
      </w:r>
      <w:r>
        <w:rPr>
          <w:rFonts w:hint="eastAsia" w:ascii="方正仿宋简体" w:hAnsi="方正仿宋简体" w:eastAsia="方正仿宋简体" w:cs="方正仿宋简体"/>
          <w:color w:val="000000" w:themeColor="text1"/>
          <w:sz w:val="32"/>
          <w:szCs w:val="32"/>
          <w14:textFill>
            <w14:solidFill>
              <w14:schemeClr w14:val="tx1"/>
            </w14:solidFill>
          </w14:textFill>
        </w:rPr>
        <w:t>日，竞价通过</w:t>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伊犁州公共资源电子交易系统（网址：</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begin"/>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instrText xml:space="preserve"> HYPERLINK "http://222.81.52.3)进行报名，申请人需上传本人身份证复印件或授权委托书及委托人身份证复印件、在新源县行政区域内注册" </w:instrTex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separate"/>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https://ggzy.xjyl.gov.cn/)</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end"/>
      </w:r>
      <w:r>
        <w:rPr>
          <w:rFonts w:hint="eastAsia" w:ascii="方正仿宋简体" w:hAnsi="方正仿宋简体" w:eastAsia="方正仿宋简体" w:cs="方正仿宋简体"/>
          <w:color w:val="000000" w:themeColor="text1"/>
          <w:sz w:val="32"/>
          <w:szCs w:val="32"/>
          <w14:textFill>
            <w14:solidFill>
              <w14:schemeClr w14:val="tx1"/>
            </w14:solidFill>
          </w14:textFill>
        </w:rPr>
        <w:t>进行，以电子平台竞价为准。</w:t>
      </w:r>
    </w:p>
    <w:p w14:paraId="2D637E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2.竞价起始价、增价幅度按《</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w:t>
      </w:r>
      <w:r>
        <w:rPr>
          <w:rFonts w:hint="eastAsia" w:ascii="方正仿宋简体" w:hAnsi="方正仿宋简体" w:eastAsia="方正仿宋简体" w:cs="方正仿宋简体"/>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r>
        <w:rPr>
          <w:rStyle w:val="6"/>
          <w:rFonts w:hint="eastAsia" w:ascii="方正仿宋简体" w:hAnsi="方正仿宋简体" w:eastAsia="方正仿宋简体" w:cs="方正仿宋简体"/>
          <w:color w:val="000000" w:themeColor="text1"/>
          <w:kern w:val="0"/>
          <w:sz w:val="32"/>
          <w:szCs w:val="32"/>
          <w:lang w:val="en-US" w:eastAsia="zh-CN"/>
          <w14:textFill>
            <w14:solidFill>
              <w14:schemeClr w14:val="tx1"/>
            </w14:solidFill>
          </w14:textFill>
        </w:rPr>
        <w:t>加价幅度为可变步长，按照竞价金额进行调整）</w:t>
      </w:r>
      <w:r>
        <w:rPr>
          <w:rFonts w:hint="eastAsia" w:ascii="方正仿宋简体" w:hAnsi="方正仿宋简体" w:eastAsia="方正仿宋简体" w:cs="方正仿宋简体"/>
          <w:color w:val="000000" w:themeColor="text1"/>
          <w:sz w:val="32"/>
          <w:szCs w:val="32"/>
          <w14:textFill>
            <w14:solidFill>
              <w14:schemeClr w14:val="tx1"/>
            </w14:solidFill>
          </w14:textFill>
        </w:rPr>
        <w:t>），报价一经确认不得撤回。</w:t>
      </w:r>
    </w:p>
    <w:p w14:paraId="0CB9D5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auto"/>
          <w:sz w:val="32"/>
          <w:szCs w:val="32"/>
        </w:rPr>
        <w:t>3.</w:t>
      </w:r>
      <w:r>
        <w:rPr>
          <w:rStyle w:val="6"/>
          <w:rFonts w:hint="eastAsia" w:ascii="方正仿宋简体" w:hAnsi="方正仿宋简体" w:eastAsia="方正仿宋简体" w:cs="方正仿宋简体"/>
          <w:color w:val="auto"/>
          <w:kern w:val="0"/>
          <w:sz w:val="32"/>
          <w:szCs w:val="32"/>
          <w:lang w:val="en-US" w:eastAsia="zh-CN"/>
        </w:rPr>
        <w:t>参与限时竞价的，则在网上限时竞价询问期（10分钟）截止时系统进入限时竞价阶段。网上限时竞价开始后，交易</w:t>
      </w:r>
      <w:r>
        <w:rPr>
          <w:rStyle w:val="6"/>
          <w:rFonts w:hint="eastAsia" w:ascii="方正仿宋简体" w:hAnsi="方正仿宋简体" w:eastAsia="方正仿宋简体" w:cs="方正仿宋简体"/>
          <w:color w:val="000000" w:themeColor="text1"/>
          <w:kern w:val="0"/>
          <w:sz w:val="32"/>
          <w:szCs w:val="32"/>
          <w:lang w:val="en-US" w:eastAsia="zh-CN"/>
          <w14:textFill>
            <w14:solidFill>
              <w14:schemeClr w14:val="tx1"/>
            </w14:solidFill>
          </w14:textFill>
        </w:rPr>
        <w:t>系统以90秒倒计时为竞价时限，如在90秒倒计时内有新的报价，网上交易系统即从接受新的报价起再顺延90秒</w:t>
      </w:r>
      <w:r>
        <w:rPr>
          <w:rFonts w:hint="eastAsia" w:ascii="方正仿宋简体" w:hAnsi="方正仿宋简体" w:eastAsia="方正仿宋简体" w:cs="方正仿宋简体"/>
          <w:color w:val="000000" w:themeColor="text1"/>
          <w:sz w:val="32"/>
          <w:szCs w:val="32"/>
          <w14:textFill>
            <w14:solidFill>
              <w14:schemeClr w14:val="tx1"/>
            </w14:solidFill>
          </w14:textFill>
        </w:rPr>
        <w:t>，直至无人再报价为止（即“限时竞价”规则）。</w:t>
      </w:r>
    </w:p>
    <w:p w14:paraId="38CD29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4.挂牌截止时，最高有效报价者为竞得人。</w:t>
      </w:r>
    </w:p>
    <w:p w14:paraId="72456D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五、成交确认与合同签订</w:t>
      </w:r>
    </w:p>
    <w:p w14:paraId="14ED11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1.挂牌结束后，交易中心将出具《挂牌成交确认书》，</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然后进行5天</w:t>
      </w:r>
      <w:r>
        <w:rPr>
          <w:rFonts w:hint="eastAsia" w:ascii="方正仿宋简体" w:hAnsi="方正仿宋简体" w:eastAsia="方正仿宋简体" w:cs="方正仿宋简体"/>
          <w:color w:val="000000" w:themeColor="text1"/>
          <w:sz w:val="32"/>
          <w:szCs w:val="32"/>
          <w14:textFill>
            <w14:solidFill>
              <w14:schemeClr w14:val="tx1"/>
            </w14:solidFill>
          </w14:textFill>
        </w:rPr>
        <w:t>公示</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p>
    <w:p w14:paraId="0FD6ED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2.竞得人需在</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取得</w:t>
      </w:r>
      <w:r>
        <w:rPr>
          <w:rFonts w:hint="eastAsia" w:ascii="方正仿宋简体" w:hAnsi="方正仿宋简体" w:eastAsia="方正仿宋简体" w:cs="方正仿宋简体"/>
          <w:color w:val="000000" w:themeColor="text1"/>
          <w:sz w:val="32"/>
          <w:szCs w:val="32"/>
          <w14:textFill>
            <w14:solidFill>
              <w14:schemeClr w14:val="tx1"/>
            </w14:solidFill>
          </w14:textFill>
        </w:rPr>
        <w:t>《挂牌成交确认书》</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且公示期无异议后，</w:t>
      </w:r>
      <w:r>
        <w:rPr>
          <w:rFonts w:hint="eastAsia" w:ascii="方正仿宋简体" w:hAnsi="方正仿宋简体" w:eastAsia="方正仿宋简体" w:cs="方正仿宋简体"/>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如不可抗力的自然因素除外</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32"/>
          <w:szCs w:val="32"/>
          <w14:textFill>
            <w14:solidFill>
              <w14:schemeClr w14:val="tx1"/>
            </w14:solidFill>
          </w14:textFill>
        </w:rPr>
        <w:t>，出让方有权重新出让该地块。</w:t>
      </w:r>
    </w:p>
    <w:p w14:paraId="54BAB4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3.竞得人如需委托他人签订合同，需出具经公证的授权委托书及受托人身份证明，否则不得代签。</w:t>
      </w:r>
    </w:p>
    <w:p w14:paraId="153519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六、价款与税费缴纳</w:t>
      </w:r>
    </w:p>
    <w:p w14:paraId="0B178B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1.成交价款缴纳</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应当严格按照</w:t>
      </w:r>
      <w:r>
        <w:rPr>
          <w:rFonts w:hint="eastAsia" w:ascii="方正仿宋简体" w:hAnsi="方正仿宋简体" w:eastAsia="方正仿宋简体" w:cs="方正仿宋简体"/>
          <w:color w:val="000000" w:themeColor="text1"/>
          <w:sz w:val="32"/>
          <w:szCs w:val="32"/>
          <w14:textFill>
            <w14:solidFill>
              <w14:schemeClr w14:val="tx1"/>
            </w14:solidFill>
          </w14:textFill>
        </w:rPr>
        <w:t>《出让合同》约定执行。</w:t>
      </w:r>
    </w:p>
    <w:p w14:paraId="6B777D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233D14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七、开发建设要求</w:t>
      </w:r>
    </w:p>
    <w:p w14:paraId="230B5D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0E278375">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动工、竣工期限按《出让合同》约定执行，</w:t>
      </w:r>
      <w:r>
        <w:rPr>
          <w:rFonts w:hint="eastAsia" w:ascii="方正仿宋简体" w:hAnsi="方正仿宋简体" w:eastAsia="方正仿宋简体" w:cs="方正仿宋简体"/>
          <w:color w:val="000000" w:themeColor="text1"/>
          <w:sz w:val="32"/>
          <w:szCs w:val="32"/>
          <w14:textFill>
            <w14:solidFill>
              <w14:schemeClr w14:val="tx1"/>
            </w14:solidFill>
          </w14:textFill>
        </w:rPr>
        <w:t>竞</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5DFA26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4788F5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八、违约责任与争议解决</w:t>
      </w:r>
    </w:p>
    <w:p w14:paraId="2EAC33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365EC0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3C377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九、其他事项</w:t>
      </w:r>
    </w:p>
    <w:p w14:paraId="09960E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77D74A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2.出让</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资料</w:t>
      </w:r>
      <w:r>
        <w:rPr>
          <w:rFonts w:hint="eastAsia" w:ascii="方正仿宋简体" w:hAnsi="方正仿宋简体" w:eastAsia="方正仿宋简体" w:cs="方正仿宋简体"/>
          <w:color w:val="000000" w:themeColor="text1"/>
          <w:sz w:val="32"/>
          <w:szCs w:val="32"/>
          <w14:textFill>
            <w14:solidFill>
              <w14:schemeClr w14:val="tx1"/>
            </w14:solidFill>
          </w14:textFill>
        </w:rPr>
        <w:t>（含公告、须知、答疑、补充</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资料</w:t>
      </w:r>
      <w:r>
        <w:rPr>
          <w:rFonts w:hint="eastAsia" w:ascii="方正仿宋简体" w:hAnsi="方正仿宋简体" w:eastAsia="方正仿宋简体" w:cs="方正仿宋简体"/>
          <w:color w:val="000000" w:themeColor="text1"/>
          <w:sz w:val="32"/>
          <w:szCs w:val="32"/>
          <w14:textFill>
            <w14:solidFill>
              <w14:schemeClr w14:val="tx1"/>
            </w14:solidFill>
          </w14:textFill>
        </w:rPr>
        <w:t>等）互为补充，具有同等法律效力，若存在不一致之处，以发布时间在后的文件为准。</w:t>
      </w:r>
    </w:p>
    <w:p w14:paraId="6B5757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53F5BE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4.本须知由</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特克斯县</w:t>
      </w:r>
      <w:r>
        <w:rPr>
          <w:rFonts w:hint="eastAsia" w:ascii="方正仿宋简体" w:hAnsi="方正仿宋简体" w:eastAsia="方正仿宋简体" w:cs="方正仿宋简体"/>
          <w:color w:val="000000" w:themeColor="text1"/>
          <w:sz w:val="32"/>
          <w:szCs w:val="32"/>
          <w14:textFill>
            <w14:solidFill>
              <w14:schemeClr w14:val="tx1"/>
            </w14:solidFill>
          </w14:textFill>
        </w:rPr>
        <w:t>自然资源局</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和伊犁州</w:t>
      </w:r>
      <w:r>
        <w:rPr>
          <w:rFonts w:hint="eastAsia" w:ascii="方正仿宋简体" w:hAnsi="方正仿宋简体" w:eastAsia="方正仿宋简体" w:cs="方正仿宋简体"/>
          <w:color w:val="000000" w:themeColor="text1"/>
          <w:sz w:val="32"/>
          <w:szCs w:val="32"/>
          <w14:textFill>
            <w14:solidFill>
              <w14:schemeClr w14:val="tx1"/>
            </w14:solidFill>
          </w14:textFill>
        </w:rPr>
        <w:t>公共资源交易</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中心共同</w:t>
      </w:r>
      <w:r>
        <w:rPr>
          <w:rFonts w:hint="eastAsia" w:ascii="方正仿宋简体" w:hAnsi="方正仿宋简体" w:eastAsia="方正仿宋简体" w:cs="方正仿宋简体"/>
          <w:color w:val="000000" w:themeColor="text1"/>
          <w:sz w:val="32"/>
          <w:szCs w:val="32"/>
          <w14:textFill>
            <w14:solidFill>
              <w14:schemeClr w14:val="tx1"/>
            </w14:solidFill>
          </w14:textFill>
        </w:rPr>
        <w:t>解释。</w:t>
      </w:r>
    </w:p>
    <w:p w14:paraId="5E7CCE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p>
    <w:p w14:paraId="0B3E20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联系单位：</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自然资源局</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伊犁州公共资源交易中心</w:t>
      </w:r>
    </w:p>
    <w:p w14:paraId="6EB8E9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联 系 人：</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汪</w:t>
      </w: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女士      </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张娜</w:t>
      </w:r>
    </w:p>
    <w:p w14:paraId="632308E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联系电话：</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18197938922</w:t>
      </w: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  </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0999-8999163</w:t>
      </w:r>
    </w:p>
    <w:p w14:paraId="246EC2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交易平台网址：</w:t>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https://ggzy.xjyl.gov.cn/</w:t>
      </w:r>
    </w:p>
    <w:p w14:paraId="768F32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地址：</w:t>
      </w:r>
      <w:r>
        <w:rPr>
          <w:rFonts w:hint="eastAsia" w:ascii="方正仿宋简体" w:hAnsi="方正仿宋简体" w:eastAsia="方正仿宋简体" w:cs="方正仿宋简体"/>
          <w:bCs/>
          <w:color w:val="000000" w:themeColor="text1"/>
          <w:kern w:val="0"/>
          <w:sz w:val="32"/>
          <w:szCs w:val="32"/>
          <w:lang w:bidi="ar"/>
          <w14:textFill>
            <w14:solidFill>
              <w14:schemeClr w14:val="tx1"/>
            </w14:solidFill>
          </w14:textFill>
        </w:rPr>
        <w:t>伊宁市边合区广东</w:t>
      </w:r>
      <w:r>
        <w:rPr>
          <w:rFonts w:hint="eastAsia" w:ascii="方正仿宋简体" w:hAnsi="方正仿宋简体" w:eastAsia="方正仿宋简体" w:cs="方正仿宋简体"/>
          <w:bCs/>
          <w:color w:val="000000" w:themeColor="text1"/>
          <w:kern w:val="0"/>
          <w:sz w:val="32"/>
          <w:szCs w:val="32"/>
          <w:lang w:val="en-US" w:eastAsia="zh-CN" w:bidi="ar"/>
          <w14:textFill>
            <w14:solidFill>
              <w14:schemeClr w14:val="tx1"/>
            </w14:solidFill>
          </w14:textFill>
        </w:rPr>
        <w:t>路</w:t>
      </w:r>
      <w:r>
        <w:rPr>
          <w:rFonts w:hint="eastAsia" w:ascii="方正仿宋简体" w:hAnsi="方正仿宋简体" w:eastAsia="方正仿宋简体" w:cs="方正仿宋简体"/>
          <w:bCs/>
          <w:color w:val="000000" w:themeColor="text1"/>
          <w:kern w:val="0"/>
          <w:sz w:val="32"/>
          <w:szCs w:val="32"/>
          <w:lang w:bidi="ar"/>
          <w14:textFill>
            <w14:solidFill>
              <w14:schemeClr w14:val="tx1"/>
            </w14:solidFill>
          </w14:textFill>
        </w:rPr>
        <w:t>52号四楼</w:t>
      </w:r>
    </w:p>
    <w:p w14:paraId="4FD62B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 </w:t>
      </w:r>
      <w:bookmarkStart w:id="0" w:name="_GoBack"/>
      <w:bookmarkEnd w:id="0"/>
    </w:p>
    <w:p w14:paraId="0E6E547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2026年10月16日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10601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2AF35D9"/>
    <w:rsid w:val="05D11D1B"/>
    <w:rsid w:val="06B3536E"/>
    <w:rsid w:val="09A3577C"/>
    <w:rsid w:val="0CE63DAB"/>
    <w:rsid w:val="0DE8795A"/>
    <w:rsid w:val="0E683122"/>
    <w:rsid w:val="0F0A1DF9"/>
    <w:rsid w:val="0FB75ADD"/>
    <w:rsid w:val="123F4AB4"/>
    <w:rsid w:val="1255782F"/>
    <w:rsid w:val="12CF001D"/>
    <w:rsid w:val="153E45AB"/>
    <w:rsid w:val="15BC3736"/>
    <w:rsid w:val="16E9116B"/>
    <w:rsid w:val="1A9B205C"/>
    <w:rsid w:val="1C1E70AE"/>
    <w:rsid w:val="1D8513D1"/>
    <w:rsid w:val="1D907689"/>
    <w:rsid w:val="1F4E5D32"/>
    <w:rsid w:val="204809D3"/>
    <w:rsid w:val="205253AE"/>
    <w:rsid w:val="22370D00"/>
    <w:rsid w:val="22821F7B"/>
    <w:rsid w:val="22A5210D"/>
    <w:rsid w:val="24F828F7"/>
    <w:rsid w:val="258F007C"/>
    <w:rsid w:val="28425D08"/>
    <w:rsid w:val="2887704D"/>
    <w:rsid w:val="28FE3988"/>
    <w:rsid w:val="2C0B0DBF"/>
    <w:rsid w:val="2E6F7274"/>
    <w:rsid w:val="2F7796AB"/>
    <w:rsid w:val="2FE83639"/>
    <w:rsid w:val="303E7002"/>
    <w:rsid w:val="31336B36"/>
    <w:rsid w:val="339A0072"/>
    <w:rsid w:val="33D939C5"/>
    <w:rsid w:val="3438143E"/>
    <w:rsid w:val="35520390"/>
    <w:rsid w:val="35533BE7"/>
    <w:rsid w:val="360F7B72"/>
    <w:rsid w:val="366B16B6"/>
    <w:rsid w:val="36FF3742"/>
    <w:rsid w:val="3E3C527C"/>
    <w:rsid w:val="401E32E5"/>
    <w:rsid w:val="40C57518"/>
    <w:rsid w:val="42512946"/>
    <w:rsid w:val="42F03A18"/>
    <w:rsid w:val="43FB3DBF"/>
    <w:rsid w:val="44234724"/>
    <w:rsid w:val="459E4A6E"/>
    <w:rsid w:val="46D56269"/>
    <w:rsid w:val="47F95F8C"/>
    <w:rsid w:val="48FD1AAC"/>
    <w:rsid w:val="4C1A4723"/>
    <w:rsid w:val="4CCE2E6D"/>
    <w:rsid w:val="4D3A32CE"/>
    <w:rsid w:val="4DC50A07"/>
    <w:rsid w:val="4E031912"/>
    <w:rsid w:val="4E30022D"/>
    <w:rsid w:val="4E992277"/>
    <w:rsid w:val="501A1195"/>
    <w:rsid w:val="50BB64D4"/>
    <w:rsid w:val="5139389D"/>
    <w:rsid w:val="51FC6DA4"/>
    <w:rsid w:val="52F83A10"/>
    <w:rsid w:val="53E53868"/>
    <w:rsid w:val="540168F4"/>
    <w:rsid w:val="54260108"/>
    <w:rsid w:val="551408A9"/>
    <w:rsid w:val="55C5183E"/>
    <w:rsid w:val="55E3217E"/>
    <w:rsid w:val="57016C0B"/>
    <w:rsid w:val="5780017C"/>
    <w:rsid w:val="58410767"/>
    <w:rsid w:val="5B5D6641"/>
    <w:rsid w:val="5BFB631F"/>
    <w:rsid w:val="5C563555"/>
    <w:rsid w:val="5DDB01B6"/>
    <w:rsid w:val="5EF86B45"/>
    <w:rsid w:val="659819C0"/>
    <w:rsid w:val="668018D0"/>
    <w:rsid w:val="692B2E87"/>
    <w:rsid w:val="69967687"/>
    <w:rsid w:val="6A684E95"/>
    <w:rsid w:val="6A6B74A1"/>
    <w:rsid w:val="6AC67AF8"/>
    <w:rsid w:val="6AED777A"/>
    <w:rsid w:val="6B8F438D"/>
    <w:rsid w:val="6BA0234D"/>
    <w:rsid w:val="714025F2"/>
    <w:rsid w:val="71D60F68"/>
    <w:rsid w:val="760B4F58"/>
    <w:rsid w:val="76E8442E"/>
    <w:rsid w:val="78390437"/>
    <w:rsid w:val="78397B5B"/>
    <w:rsid w:val="78D90A96"/>
    <w:rsid w:val="79340A33"/>
    <w:rsid w:val="7B2B6A6E"/>
    <w:rsid w:val="7C156B31"/>
    <w:rsid w:val="7D2721ED"/>
    <w:rsid w:val="7F7B8F98"/>
    <w:rsid w:val="DBFBF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2" w:leftChars="1" w:firstLine="640" w:firstLineChars="200"/>
    </w:pPr>
    <w:rPr>
      <w:rFonts w:eastAsia="仿宋_GB2312"/>
      <w:sz w:val="32"/>
    </w:rPr>
  </w:style>
  <w:style w:type="character" w:customStyle="1" w:styleId="6">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2223</Words>
  <Characters>2400</Characters>
  <Lines>0</Lines>
  <Paragraphs>0</Paragraphs>
  <TotalTime>1</TotalTime>
  <ScaleCrop>false</ScaleCrop>
  <LinksUpToDate>false</LinksUpToDate>
  <CharactersWithSpaces>2442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2025-11-21T08:15:00Z</dcterms:created>
  <dc:creator>Q</dc:creator>
  <cp:lastModifiedBy>user</cp:lastModifiedBy>
  <cp:lastPrinted>2025-11-25T03:53:00Z</cp:lastPrinted>
  <dcterms:modified xsi:type="dcterms:W3CDTF">2026-10-16T18:35:39Z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D04548DA65397BB7D1E6D16AE4C770A4_43</vt:lpwstr>
  </property>
  <property fmtid="{D5CDD505-2E9C-101B-9397-08002B2CF9AE}" pid="4" name="KSOTemplateDocerSaveRecord">
    <vt:lpwstr>eyJoZGlkIjoiNzRlNmFmODM4MjQyZWZjNTAxN2Y1NjBmMzQzZjg0NmYiLCJ1c2VySWQiOiI3NDI2Njc5MTcifQ==</vt:lpwstr>
  </property>
</Properties>
</file>