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2F298">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lang w:val="en-US" w:eastAsia="zh-CN"/>
        </w:rPr>
        <w:t>特克斯县</w:t>
      </w:r>
      <w:r>
        <w:rPr>
          <w:rFonts w:hint="eastAsia" w:ascii="仿宋_GB2312" w:hAnsi="仿宋_GB2312" w:eastAsia="仿宋_GB2312" w:cs="仿宋_GB2312"/>
          <w:b/>
          <w:bCs/>
          <w:sz w:val="44"/>
          <w:szCs w:val="44"/>
        </w:rPr>
        <w:t>国有建设用地使用权</w:t>
      </w:r>
    </w:p>
    <w:p w14:paraId="469D11F9">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挂牌出让须知</w:t>
      </w:r>
    </w:p>
    <w:p w14:paraId="0F0E9562">
      <w:pPr>
        <w:jc w:val="center"/>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auto"/>
          <w:sz w:val="32"/>
          <w:szCs w:val="32"/>
          <w:lang w:val="en-US" w:eastAsia="zh-CN"/>
        </w:rPr>
        <w:t>编号：特公告字[2026]26号（特挂2026-20、23号）</w:t>
      </w:r>
    </w:p>
    <w:p w14:paraId="565EBA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规范本次国有建设用地使用权挂牌出让活动，根据《中华人民共和国土地管理法》《招标拍卖挂牌出让国有建设用地使用权规定》（国土资源部令第39号）等法律法规及本次挂牌出让公告，制定本须知。凡申请参加本次挂牌竞买的申请人，均视为已仔细阅读并充分理解本须知全部内容，自愿接受本须知及相关出让文件的约束。</w:t>
      </w:r>
    </w:p>
    <w:p w14:paraId="239333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一、竞买人资格确认</w:t>
      </w:r>
    </w:p>
    <w:p w14:paraId="50087C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1.竞买人需符合《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资源局国有土地使用权挂牌出让公告》中明确的资格要求，境内外自然人、法人和其他组织（法律法规禁止参与的除外）均可申请，失信被执行人、涉土违法违规受限主体不得参与。</w:t>
      </w:r>
    </w:p>
    <w:p w14:paraId="2C91B6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2.联合竞买需提交书面联合协议，明确主竞买人、各方出资比例、权利义务及利益分配方式，联合竞买各方均需符合资格要求。</w:t>
      </w:r>
    </w:p>
    <w:p w14:paraId="7EFFE3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3.竞买人提交的申请材料（营业执照、身份证明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（法人、自然人、委托代理人、委托书</w:t>
      </w:r>
      <w:r>
        <w:rPr>
          <w:rFonts w:hint="eastAsia" w:ascii="仿宋_GB2312" w:hAnsi="仿宋_GB2312" w:eastAsia="仿宋_GB2312" w:cs="仿宋_GB2312"/>
          <w:color w:val="000000" w:themeColor="text1"/>
          <w:sz w:val="32"/>
          <w:szCs w:val="32"/>
          <w14:textFill>
            <w14:solidFill>
              <w14:schemeClr w14:val="tx1"/>
            </w14:solidFill>
          </w14:textFill>
        </w:rPr>
        <w:t>、资</w:t>
      </w:r>
      <w:r>
        <w:rPr>
          <w:rFonts w:hint="eastAsia" w:ascii="仿宋_GB2312" w:hAnsi="仿宋_GB2312" w:eastAsia="仿宋_GB2312" w:cs="仿宋_GB2312"/>
          <w:color w:val="000000" w:themeColor="text1"/>
          <w:sz w:val="32"/>
          <w:szCs w:val="32"/>
          <w:lang w:eastAsia="zh-CN"/>
          <w14:textFill>
            <w14:solidFill>
              <w14:schemeClr w14:val="tx1"/>
            </w14:solidFill>
          </w14:textFill>
        </w:rPr>
        <w:t>信</w:t>
      </w:r>
      <w:r>
        <w:rPr>
          <w:rFonts w:hint="eastAsia" w:ascii="仿宋_GB2312" w:hAnsi="仿宋_GB2312" w:eastAsia="仿宋_GB2312" w:cs="仿宋_GB2312"/>
          <w:color w:val="000000" w:themeColor="text1"/>
          <w:sz w:val="32"/>
          <w:szCs w:val="32"/>
          <w14:textFill>
            <w14:solidFill>
              <w14:schemeClr w14:val="tx1"/>
            </w14:solidFill>
          </w14:textFill>
        </w:rPr>
        <w:t>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企业信用报告</w:t>
      </w:r>
      <w:r>
        <w:rPr>
          <w:rFonts w:hint="eastAsia" w:ascii="仿宋_GB2312" w:hAnsi="仿宋_GB2312" w:eastAsia="仿宋_GB2312" w:cs="仿宋_GB2312"/>
          <w:color w:val="000000" w:themeColor="text1"/>
          <w:sz w:val="32"/>
          <w:szCs w:val="32"/>
          <w14:textFill>
            <w14:solidFill>
              <w14:schemeClr w14:val="tx1"/>
            </w14:solidFill>
          </w14:textFill>
        </w:rPr>
        <w:t>无违法违规记录承诺书等）需真实、合法、有效，若存在虚假材料，将取消竞买资格，已缴纳的竞买保证金不予退还。</w:t>
      </w:r>
    </w:p>
    <w:p w14:paraId="2C4A0E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4.资格审查由</w:t>
      </w:r>
      <w:r>
        <w:rPr>
          <w:rFonts w:hint="eastAsia" w:ascii="仿宋_GB2312" w:hAnsi="仿宋_GB2312" w:eastAsia="仿宋_GB2312" w:cs="仿宋_GB2312"/>
          <w:color w:val="000000" w:themeColor="text1"/>
          <w:sz w:val="32"/>
          <w:szCs w:val="32"/>
          <w:lang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公共资源交易中心会同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自然资源局共同完成，审查结果以《竞买资格确认书》为准，审查不合格者不得参与竞价。</w:t>
      </w:r>
    </w:p>
    <w:p w14:paraId="2F2322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二、出让文件获取与地块踏勘 </w:t>
      </w:r>
    </w:p>
    <w:p w14:paraId="512F44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1.竞买人可</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自20</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26</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年</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10</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月</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27</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日至20</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26</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年</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11</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月</w:t>
      </w:r>
      <w:r>
        <w:rPr>
          <w:rStyle w:val="7"/>
          <w:rFonts w:hint="eastAsia" w:ascii="仿宋_GB2312" w:hAnsi="仿宋_GB2312" w:eastAsia="仿宋_GB2312" w:cs="仿宋_GB2312"/>
          <w:b w:val="0"/>
          <w:bCs/>
          <w:color w:val="000000" w:themeColor="text1"/>
          <w:kern w:val="0"/>
          <w:sz w:val="32"/>
          <w:szCs w:val="32"/>
          <w:lang w:val="en-US" w:eastAsia="zh-CN"/>
          <w14:textFill>
            <w14:solidFill>
              <w14:schemeClr w14:val="tx1"/>
            </w14:solidFill>
          </w14:textFill>
        </w:rPr>
        <w:t>15</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日，通过伊犁州公共资源电子交</w:t>
      </w:r>
      <w:r>
        <w:rPr>
          <w:rFonts w:hint="eastAsia" w:ascii="仿宋_GB2312" w:hAnsi="仿宋_GB2312" w:eastAsia="仿宋_GB2312" w:cs="仿宋_GB2312"/>
          <w:color w:val="000000" w:themeColor="text1"/>
          <w:sz w:val="32"/>
          <w:szCs w:val="32"/>
          <w14:textFill>
            <w14:solidFill>
              <w14:schemeClr w14:val="tx1"/>
            </w14:solidFill>
          </w14:textFill>
        </w:rPr>
        <w:t>易系统（网址：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https://ggzy.xjyl.gov.cn/)</w:t>
      </w:r>
      <w:r>
        <w:rPr>
          <w:rFonts w:hint="eastAsia" w:ascii="仿宋_GB2312" w:hAnsi="仿宋_GB2312" w:eastAsia="仿宋_GB2312" w:cs="仿宋_GB2312"/>
          <w:color w:val="000000" w:themeColor="text1"/>
          <w:sz w:val="32"/>
          <w:szCs w:val="32"/>
          <w14:textFill>
            <w14:solidFill>
              <w14:schemeClr w14:val="tx1"/>
            </w14:solidFill>
          </w14:textFill>
        </w:rPr>
        <w:t>下载挂牌出让</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相关资料。</w:t>
      </w:r>
    </w:p>
    <w:p w14:paraId="69BDE3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人应在申请前自行对出让地块的位置、四至、面积、地形地貌、地质条件、周边环境、规划要求等进行实地踏勘，充分了解地块现状及潜在风险。出让方不承担地块瑕疵担保责任，竞买人参与竞买即视为已认可地块现状及所有出让条件。</w:t>
      </w:r>
    </w:p>
    <w:p w14:paraId="244B47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三、竞买申请与保证金缴纳</w:t>
      </w:r>
      <w:bookmarkStart w:id="0" w:name="_GoBack"/>
      <w:bookmarkEnd w:id="0"/>
    </w:p>
    <w:p w14:paraId="376952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1.竞买人需在</w:t>
      </w:r>
      <w:r>
        <w:rPr>
          <w:rFonts w:hint="eastAsia" w:ascii="仿宋_GB2312" w:hAnsi="仿宋_GB2312" w:eastAsia="仿宋_GB2312" w:cs="仿宋_GB2312"/>
          <w:color w:val="000000" w:themeColor="text1"/>
          <w:sz w:val="32"/>
          <w:szCs w:val="32"/>
          <w:highlight w:val="none"/>
          <w14:textFill>
            <w14:solidFill>
              <w14:schemeClr w14:val="tx1"/>
            </w14:solidFill>
          </w14:textFill>
        </w:rPr>
        <w:t>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15</w:t>
      </w:r>
      <w:r>
        <w:rPr>
          <w:rFonts w:hint="eastAsia" w:ascii="仿宋_GB2312" w:hAnsi="仿宋_GB2312" w:eastAsia="仿宋_GB2312" w:cs="仿宋_GB2312"/>
          <w:color w:val="000000" w:themeColor="text1"/>
          <w:sz w:val="32"/>
          <w:szCs w:val="32"/>
          <w:highlight w:val="none"/>
          <w14:textFill>
            <w14:solidFill>
              <w14:schemeClr w14:val="tx1"/>
            </w14:solidFill>
          </w14:textFill>
        </w:rPr>
        <w:t>日前，</w:t>
      </w:r>
      <w:r>
        <w:rPr>
          <w:rFonts w:hint="eastAsia" w:ascii="仿宋_GB2312" w:hAnsi="仿宋_GB2312" w:eastAsia="仿宋_GB2312" w:cs="仿宋_GB2312"/>
          <w:color w:val="000000" w:themeColor="text1"/>
          <w:sz w:val="32"/>
          <w:szCs w:val="32"/>
          <w:lang w:eastAsia="zh-CN"/>
          <w14:textFill>
            <w14:solidFill>
              <w14:schemeClr w14:val="tx1"/>
            </w14:solidFill>
          </w14:textFill>
        </w:rPr>
        <w:t>在</w:t>
      </w:r>
      <w:r>
        <w:rPr>
          <w:rFonts w:hint="eastAsia" w:ascii="仿宋_GB2312" w:hAnsi="仿宋_GB2312" w:eastAsia="仿宋_GB2312" w:cs="仿宋_GB2312"/>
          <w:color w:val="000000" w:themeColor="text1"/>
          <w:sz w:val="32"/>
          <w:szCs w:val="32"/>
          <w14:textFill>
            <w14:solidFill>
              <w14:schemeClr w14:val="tx1"/>
            </w14:solidFill>
          </w14:textFill>
        </w:rPr>
        <w:t>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平台</w:t>
      </w:r>
      <w:r>
        <w:rPr>
          <w:rFonts w:hint="eastAsia" w:ascii="仿宋_GB2312" w:hAnsi="仿宋_GB2312" w:eastAsia="仿宋_GB2312" w:cs="仿宋_GB2312"/>
          <w:color w:val="000000" w:themeColor="text1"/>
          <w:sz w:val="32"/>
          <w:szCs w:val="32"/>
          <w14:textFill>
            <w14:solidFill>
              <w14:schemeClr w14:val="tx1"/>
            </w14:solidFill>
          </w14:textFill>
        </w:rPr>
        <w:t>提交《竞买申请书》及相关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报名</w:t>
      </w:r>
      <w:r>
        <w:rPr>
          <w:rFonts w:hint="eastAsia" w:ascii="仿宋_GB2312" w:hAnsi="仿宋_GB2312" w:eastAsia="仿宋_GB2312" w:cs="仿宋_GB2312"/>
          <w:color w:val="000000" w:themeColor="text1"/>
          <w:sz w:val="32"/>
          <w:szCs w:val="32"/>
          <w14:textFill>
            <w14:solidFill>
              <w14:schemeClr w14:val="tx1"/>
            </w14:solidFill>
          </w14:textFill>
        </w:rPr>
        <w:t>材料，逾期提交视为无效申请。</w:t>
      </w:r>
    </w:p>
    <w:p w14:paraId="3E682D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2.竞买保证金缴纳标准按《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23</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京时18时</w:t>
      </w:r>
      <w:r>
        <w:rPr>
          <w:rFonts w:hint="eastAsia" w:ascii="仿宋_GB2312" w:hAnsi="仿宋_GB2312" w:eastAsia="仿宋_GB2312" w:cs="仿宋_GB2312"/>
          <w:color w:val="000000" w:themeColor="text1"/>
          <w:sz w:val="32"/>
          <w:szCs w:val="32"/>
          <w14:textFill>
            <w14:solidFill>
              <w14:schemeClr w14:val="tx1"/>
            </w14:solidFill>
          </w14:textFill>
        </w:rPr>
        <w:t>前将保证金足额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w:t>
      </w:r>
      <w:r>
        <w:rPr>
          <w:rFonts w:hint="eastAsia" w:ascii="仿宋_GB2312" w:hAnsi="仿宋_GB2312" w:eastAsia="仿宋_GB2312" w:cs="仿宋_GB2312"/>
          <w:color w:val="000000" w:themeColor="text1"/>
          <w:sz w:val="32"/>
          <w:szCs w:val="32"/>
          <w14:textFill>
            <w14:solidFill>
              <w14:schemeClr w14:val="tx1"/>
            </w14:solidFill>
          </w14:textFill>
        </w:rPr>
        <w:t>至指定账户（账户名称：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交易平台自动生成的建设银行虚拟子账户</w:t>
      </w:r>
      <w:r>
        <w:rPr>
          <w:rFonts w:hint="eastAsia" w:ascii="仿宋_GB2312" w:hAnsi="仿宋_GB2312" w:eastAsia="仿宋_GB2312" w:cs="仿宋_GB2312"/>
          <w:color w:val="000000" w:themeColor="text1"/>
          <w:sz w:val="32"/>
          <w:szCs w:val="32"/>
          <w14:textFill>
            <w14:solidFill>
              <w14:schemeClr w14:val="tx1"/>
            </w14:solidFill>
          </w14:textFill>
        </w:rPr>
        <w:t>），保证金以银行到账时间为准，逾期未到账的视为未完成申请。</w:t>
      </w:r>
    </w:p>
    <w:p w14:paraId="5DE252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3.保证金缴纳后，竞买人需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将</w:t>
      </w:r>
      <w:r>
        <w:rPr>
          <w:rFonts w:hint="eastAsia" w:ascii="仿宋_GB2312" w:hAnsi="仿宋_GB2312" w:eastAsia="仿宋_GB2312" w:cs="仿宋_GB2312"/>
          <w:color w:val="000000" w:themeColor="text1"/>
          <w:sz w:val="32"/>
          <w:szCs w:val="32"/>
          <w14:textFill>
            <w14:solidFill>
              <w14:schemeClr w14:val="tx1"/>
            </w14:solidFill>
          </w14:textFill>
        </w:rPr>
        <w:t>银行转账凭证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复印件交至州公共资源</w:t>
      </w:r>
      <w:r>
        <w:rPr>
          <w:rFonts w:hint="eastAsia" w:ascii="仿宋_GB2312" w:hAnsi="仿宋_GB2312" w:eastAsia="仿宋_GB2312" w:cs="仿宋_GB2312"/>
          <w:color w:val="000000" w:themeColor="text1"/>
          <w:sz w:val="32"/>
          <w:szCs w:val="32"/>
          <w14:textFill>
            <w14:solidFill>
              <w14:schemeClr w14:val="tx1"/>
            </w14:solidFill>
          </w14:textFill>
        </w:rPr>
        <w:t>交易中心，未按规定缴纳保证金的，不得取得竞买资格。</w:t>
      </w:r>
    </w:p>
    <w:p w14:paraId="147F10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4.未竞得人的竞买保证金，将在挂牌结束后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个工作日内无息退还；竞得人的保证金自动转为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成交价款</w:t>
      </w:r>
      <w:r>
        <w:rPr>
          <w:rFonts w:hint="eastAsia" w:ascii="仿宋_GB2312" w:hAnsi="仿宋_GB2312" w:eastAsia="仿宋_GB2312" w:cs="仿宋_GB2312"/>
          <w:color w:val="000000" w:themeColor="text1"/>
          <w:sz w:val="32"/>
          <w:szCs w:val="32"/>
          <w14:textFill>
            <w14:solidFill>
              <w14:schemeClr w14:val="tx1"/>
            </w14:solidFill>
          </w14:textFill>
        </w:rPr>
        <w:t>。</w:t>
      </w:r>
    </w:p>
    <w:p w14:paraId="2131C3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四、挂牌竞价规则</w:t>
      </w:r>
    </w:p>
    <w:p w14:paraId="502115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1.挂牌竞价时间为</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日至20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25</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highlight w:val="none"/>
          <w14:textFill>
            <w14:solidFill>
              <w14:schemeClr w14:val="tx1"/>
            </w14:solidFill>
          </w14:textFill>
        </w:rPr>
        <w:t>，竞价通过</w:t>
      </w:r>
      <w:r>
        <w:rPr>
          <w:rStyle w:val="7"/>
          <w:rFonts w:hint="eastAsia" w:ascii="仿宋_GB2312" w:hAnsi="仿宋_GB2312" w:eastAsia="仿宋_GB2312" w:cs="仿宋_GB2312"/>
          <w:b w:val="0"/>
          <w:bCs/>
          <w:color w:val="000000" w:themeColor="text1"/>
          <w:kern w:val="0"/>
          <w:sz w:val="32"/>
          <w:szCs w:val="32"/>
          <w:highlight w:val="none"/>
          <w14:textFill>
            <w14:solidFill>
              <w14:schemeClr w14:val="tx1"/>
            </w14:solidFill>
          </w14:textFill>
        </w:rPr>
        <w:t>伊犁州公共资源电子交易系统（网址</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https://ggzy.xjyl.gov.cn/)</w:t>
      </w:r>
      <w:r>
        <w:rPr>
          <w:rFonts w:hint="eastAsia" w:ascii="仿宋_GB2312" w:hAnsi="仿宋_GB2312" w:eastAsia="仿宋_GB2312" w:cs="仿宋_GB2312"/>
          <w:color w:val="000000" w:themeColor="text1"/>
          <w:sz w:val="32"/>
          <w:szCs w:val="32"/>
          <w14:textFill>
            <w14:solidFill>
              <w14:schemeClr w14:val="tx1"/>
            </w14:solidFill>
          </w14:textFill>
        </w:rPr>
        <w:t>进行，以电子平台竞价为准。</w:t>
      </w:r>
    </w:p>
    <w:p w14:paraId="67D1A4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2.竞价起始价、增价幅度按《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资源局国有土地使用权挂牌出让公告》执行，竞买人首次报价不得低于起始价，后续报价需高于当前最高报价且符合增价幅度（可按增价幅度整数倍加价</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可多次报价</w:t>
      </w:r>
      <w:r>
        <w:rPr>
          <w:rFonts w:hint="eastAsia" w:ascii="仿宋_GB2312" w:hAnsi="仿宋_GB2312" w:eastAsia="仿宋_GB2312" w:cs="仿宋_GB2312"/>
          <w:color w:val="000000" w:themeColor="text1"/>
          <w:sz w:val="32"/>
          <w:szCs w:val="32"/>
          <w14:textFill>
            <w14:solidFill>
              <w14:schemeClr w14:val="tx1"/>
            </w14:solidFill>
          </w14:textFill>
        </w:rPr>
        <w:t>），报价一经确认不得撤回。</w:t>
      </w:r>
    </w:p>
    <w:p w14:paraId="33A48D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参与限时竞价的，则在网上限时竞价询问期</w:t>
      </w:r>
      <w:r>
        <w:rPr>
          <w:rStyle w:val="7"/>
          <w:rFonts w:hint="eastAsia" w:ascii="仿宋_GB2312" w:hAnsi="仿宋_GB2312" w:eastAsia="仿宋_GB2312" w:cs="仿宋_GB2312"/>
          <w:color w:val="FF0000"/>
          <w:kern w:val="0"/>
          <w:sz w:val="32"/>
          <w:szCs w:val="32"/>
          <w:lang w:val="en-US" w:eastAsia="zh-CN"/>
        </w:rPr>
        <w:t>（10分钟）</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截止时系统进入限时竞价阶段。网上限时竞价开始后，交易系统以90秒倒计时为竞价时限，如在90秒倒计时内有新的报价，网上交易系统即从接受新的报价起再顺延90秒</w:t>
      </w:r>
      <w:r>
        <w:rPr>
          <w:rFonts w:hint="eastAsia" w:ascii="仿宋_GB2312" w:hAnsi="仿宋_GB2312" w:eastAsia="仿宋_GB2312" w:cs="仿宋_GB2312"/>
          <w:color w:val="000000" w:themeColor="text1"/>
          <w:sz w:val="32"/>
          <w:szCs w:val="32"/>
          <w14:textFill>
            <w14:solidFill>
              <w14:schemeClr w14:val="tx1"/>
            </w14:solidFill>
          </w14:textFill>
        </w:rPr>
        <w:t>，直至无人再报价为止（即“限时竞价”规则）。</w:t>
      </w:r>
    </w:p>
    <w:p w14:paraId="7594E6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4.挂牌截止时，最高有效报价者为竞得人。</w:t>
      </w:r>
    </w:p>
    <w:p w14:paraId="6E59D7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五、成交确认与合同签订</w:t>
      </w:r>
    </w:p>
    <w:p w14:paraId="529420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1.挂牌结束后，交易中心将出具《挂牌成交确认书》，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然后进行5天</w:t>
      </w:r>
      <w:r>
        <w:rPr>
          <w:rFonts w:hint="eastAsia" w:ascii="仿宋_GB2312" w:hAnsi="仿宋_GB2312" w:eastAsia="仿宋_GB2312" w:cs="仿宋_GB2312"/>
          <w:color w:val="000000" w:themeColor="text1"/>
          <w:sz w:val="32"/>
          <w:szCs w:val="32"/>
          <w14:textFill>
            <w14:solidFill>
              <w14:schemeClr w14:val="tx1"/>
            </w14:solidFill>
          </w14:textFill>
        </w:rPr>
        <w:t>公示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650A71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取得</w:t>
      </w:r>
      <w:r>
        <w:rPr>
          <w:rFonts w:hint="eastAsia" w:ascii="仿宋_GB2312" w:hAnsi="仿宋_GB2312" w:eastAsia="仿宋_GB2312" w:cs="仿宋_GB2312"/>
          <w:color w:val="000000" w:themeColor="text1"/>
          <w:sz w:val="32"/>
          <w:szCs w:val="32"/>
          <w14:textFill>
            <w14:solidFill>
              <w14:schemeClr w14:val="tx1"/>
            </w14:solidFill>
          </w14:textFill>
        </w:rPr>
        <w:t>《挂牌成交确认书》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且公示期无异议后，</w:t>
      </w:r>
      <w:r>
        <w:rPr>
          <w:rFonts w:hint="eastAsia" w:ascii="仿宋_GB2312" w:hAnsi="仿宋_GB2312" w:eastAsia="仿宋_GB2312" w:cs="仿宋_GB2312"/>
          <w:color w:val="000000" w:themeColor="text1"/>
          <w:sz w:val="32"/>
          <w:szCs w:val="32"/>
          <w14:textFill>
            <w14:solidFill>
              <w14:schemeClr w14:val="tx1"/>
            </w14:solidFill>
          </w14:textFill>
        </w:rPr>
        <w:t>与自然资源局签订《国有建设用地使用权出让合同》，逾期未签订的，视为自动放弃竞得资格，竞买保证金不予退还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如不可抗力的自然因素除外</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，出让方有权重新出让该地块。</w:t>
      </w:r>
    </w:p>
    <w:p w14:paraId="041B24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3.竞得人如需委托他人签订合同，需出具经公证的授权委托书及受托人身份证明，否则不得代签。</w:t>
      </w:r>
    </w:p>
    <w:p w14:paraId="0A43C4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六、价款与税费缴纳</w:t>
      </w:r>
    </w:p>
    <w:p w14:paraId="37A48B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1.成交价款缴纳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应当严格按照</w:t>
      </w:r>
      <w:r>
        <w:rPr>
          <w:rFonts w:hint="eastAsia" w:ascii="仿宋_GB2312" w:hAnsi="仿宋_GB2312" w:eastAsia="仿宋_GB2312" w:cs="仿宋_GB2312"/>
          <w:color w:val="000000" w:themeColor="text1"/>
          <w:sz w:val="32"/>
          <w:szCs w:val="32"/>
          <w14:textFill>
            <w14:solidFill>
              <w14:schemeClr w14:val="tx1"/>
            </w14:solidFill>
          </w14:textFill>
        </w:rPr>
        <w:t>《出让合同》约定执行。</w:t>
      </w:r>
    </w:p>
    <w:p w14:paraId="58D2DF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2.竞得人需按国家及地方相关规定，自行缴纳契税、印花税、耕地占用税等相关税费，税费缴纳完毕后方可办理不动产权登记。</w:t>
      </w:r>
    </w:p>
    <w:p w14:paraId="5D5DD0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七、开发建设要求</w:t>
      </w:r>
    </w:p>
    <w:p w14:paraId="33616C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1.竞得人需严格按照《出让合同》约定及规划条件进行开发建设，容积率、建筑密度、绿地率、建筑限高、用途等规划指标不得擅自变更，确需变更的，需按规定报相关部门批准。</w:t>
      </w:r>
    </w:p>
    <w:p w14:paraId="763B0704">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动工、竣工期限按《出让合同》约定执行，</w:t>
      </w:r>
      <w:r>
        <w:rPr>
          <w:rFonts w:hint="eastAsia" w:ascii="仿宋_GB2312" w:hAnsi="仿宋_GB2312" w:eastAsia="仿宋_GB2312" w:cs="仿宋_GB2312"/>
          <w:color w:val="000000" w:themeColor="text1"/>
          <w:sz w:val="32"/>
          <w:szCs w:val="32"/>
          <w14:textFill>
            <w14:solidFill>
              <w14:schemeClr w14:val="tx1"/>
            </w14:solidFill>
          </w14:textFill>
        </w:rPr>
        <w:t>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得人需在动工期限内开工建设，在竣工期限内完成项目建设并申请竣工验收，逾期将按合同约定收取违约金，情节严重的，出让方有权收回土地使用权。</w:t>
      </w:r>
    </w:p>
    <w:p w14:paraId="2E79B0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3.地块开发建设需遵守国家环保、安全、消防等相关规定，落实生态保护、耕地保护等要求，不得从事违法违规建设活动。</w:t>
      </w:r>
    </w:p>
    <w:p w14:paraId="458497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八、违约责任与争议解决</w:t>
      </w:r>
    </w:p>
    <w:p w14:paraId="02CA94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1.竞买人存在提供虚假材料、恶意串通、违规竞价等违法违规行为的，取消竞买资格或成交结果，竞买保证金不予退还；造成损失的，需承担相应赔偿责任。</w:t>
      </w:r>
    </w:p>
    <w:p w14:paraId="737815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2.竞得人未按规定签订合同、缴纳价款或擅自改变土地用途、违反规划指标开发建设的，出让方有权解除合同、收回土地，已缴款项不予退还，并追究其违约责任。</w:t>
      </w:r>
    </w:p>
    <w:p w14:paraId="2CDFD4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九、其他事项</w:t>
      </w:r>
    </w:p>
    <w:p w14:paraId="25F25E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1.本次挂牌出让的所有时间节点均以交易中心电子平台或现场公示的时间为准，因不可抗力、系统故障等特殊情况需调整时间的，将提前发布补充公告。</w:t>
      </w:r>
    </w:p>
    <w:p w14:paraId="4FFD2A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2.出让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（含公告、须知、答疑、补充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等）互为补充，具有同等法律效力，若存在不一致之处，以发布时间在后的文件为准。</w:t>
      </w:r>
    </w:p>
    <w:p w14:paraId="5A35FC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3.竞买人应妥善保管电子竞价账号及密码，因账号泄露、密码丢失导致的竞价损失，由竞买人自行承担。</w:t>
      </w:r>
    </w:p>
    <w:p w14:paraId="2F32ED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4.本须知由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中心和特克斯县</w:t>
      </w:r>
      <w:r>
        <w:rPr>
          <w:rFonts w:hint="eastAsia" w:ascii="仿宋_GB2312" w:hAnsi="仿宋_GB2312" w:eastAsia="仿宋_GB2312" w:cs="仿宋_GB2312"/>
          <w:color w:val="000000" w:themeColor="text1"/>
          <w:sz w:val="32"/>
          <w:szCs w:val="32"/>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共同</w:t>
      </w:r>
      <w:r>
        <w:rPr>
          <w:rFonts w:hint="eastAsia" w:ascii="仿宋_GB2312" w:hAnsi="仿宋_GB2312" w:eastAsia="仿宋_GB2312" w:cs="仿宋_GB2312"/>
          <w:color w:val="000000" w:themeColor="text1"/>
          <w:sz w:val="32"/>
          <w:szCs w:val="32"/>
          <w14:textFill>
            <w14:solidFill>
              <w14:schemeClr w14:val="tx1"/>
            </w14:solidFill>
          </w14:textFill>
        </w:rPr>
        <w:t>解释。</w:t>
      </w:r>
    </w:p>
    <w:p w14:paraId="0FF4ADE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7537A49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伊犁州公共资源交易中心</w:t>
      </w:r>
    </w:p>
    <w:p w14:paraId="62889A8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 系 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汪</w:t>
      </w:r>
      <w:r>
        <w:rPr>
          <w:rFonts w:hint="eastAsia" w:ascii="仿宋_GB2312" w:hAnsi="仿宋_GB2312" w:eastAsia="仿宋_GB2312" w:cs="仿宋_GB2312"/>
          <w:color w:val="000000" w:themeColor="text1"/>
          <w:sz w:val="32"/>
          <w:szCs w:val="32"/>
          <w14:textFill>
            <w14:solidFill>
              <w14:schemeClr w14:val="tx1"/>
            </w14:solidFill>
          </w14:textFill>
        </w:rPr>
        <w:t xml:space="preserve">女士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张娜</w:t>
      </w:r>
    </w:p>
    <w:p w14:paraId="1562DE2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联系电话：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18197938922</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0999-8999163</w:t>
      </w:r>
    </w:p>
    <w:p w14:paraId="784612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交易平台网址：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https://ggzy.xjyl.gov.cn/</w:t>
      </w:r>
    </w:p>
    <w:p w14:paraId="4A74C17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地址：伊宁市边合区广东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路</w:t>
      </w:r>
      <w:r>
        <w:rPr>
          <w:rFonts w:hint="eastAsia" w:ascii="仿宋_GB2312" w:hAnsi="仿宋_GB2312" w:eastAsia="仿宋_GB2312" w:cs="仿宋_GB2312"/>
          <w:color w:val="000000" w:themeColor="text1"/>
          <w:sz w:val="32"/>
          <w:szCs w:val="32"/>
          <w14:textFill>
            <w14:solidFill>
              <w14:schemeClr w14:val="tx1"/>
            </w14:solidFill>
          </w14:textFill>
        </w:rPr>
        <w:t>52号四楼</w:t>
      </w:r>
    </w:p>
    <w:p w14:paraId="2E1921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14:paraId="616B9F29">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2026年10月27日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4D"/>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仿宋简体">
    <w:altName w:val="方正仿宋_GBK"/>
    <w:panose1 w:val="02000000000000000000"/>
    <w:charset w:val="86"/>
    <w:family w:val="auto"/>
    <w:pitch w:val="default"/>
    <w:sig w:usb0="00000000" w:usb1="00000000"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zZmMyMDcwODFlNTE2ODIyMWY5MmZmMjkzMmVmYjUifQ=="/>
  </w:docVars>
  <w:rsids>
    <w:rsidRoot w:val="16E9116B"/>
    <w:rsid w:val="00FF56BA"/>
    <w:rsid w:val="014F6641"/>
    <w:rsid w:val="0191556B"/>
    <w:rsid w:val="02AF35D9"/>
    <w:rsid w:val="049F448A"/>
    <w:rsid w:val="04ED4B11"/>
    <w:rsid w:val="05D11D1B"/>
    <w:rsid w:val="06B3536E"/>
    <w:rsid w:val="09A3577C"/>
    <w:rsid w:val="0A002AF6"/>
    <w:rsid w:val="0CE63DAB"/>
    <w:rsid w:val="0DE8795A"/>
    <w:rsid w:val="0E683122"/>
    <w:rsid w:val="0F0A1DF9"/>
    <w:rsid w:val="0FB75ADD"/>
    <w:rsid w:val="11496C09"/>
    <w:rsid w:val="123F4AB4"/>
    <w:rsid w:val="1255782F"/>
    <w:rsid w:val="128D521B"/>
    <w:rsid w:val="12CF001D"/>
    <w:rsid w:val="153E45AB"/>
    <w:rsid w:val="15BC3736"/>
    <w:rsid w:val="16E9116B"/>
    <w:rsid w:val="17A54DB5"/>
    <w:rsid w:val="1825592A"/>
    <w:rsid w:val="187D363C"/>
    <w:rsid w:val="1A9B205C"/>
    <w:rsid w:val="1C1E70AE"/>
    <w:rsid w:val="1CA83390"/>
    <w:rsid w:val="1CAB25C9"/>
    <w:rsid w:val="1D8513D1"/>
    <w:rsid w:val="1D907689"/>
    <w:rsid w:val="1F4E5D32"/>
    <w:rsid w:val="203C3DDD"/>
    <w:rsid w:val="204809D3"/>
    <w:rsid w:val="205253AE"/>
    <w:rsid w:val="20EA3839"/>
    <w:rsid w:val="21EE1084"/>
    <w:rsid w:val="22370D00"/>
    <w:rsid w:val="22821F7B"/>
    <w:rsid w:val="22A5210D"/>
    <w:rsid w:val="23B607A4"/>
    <w:rsid w:val="24F828F7"/>
    <w:rsid w:val="258F007C"/>
    <w:rsid w:val="27B457B1"/>
    <w:rsid w:val="28425D08"/>
    <w:rsid w:val="2887704D"/>
    <w:rsid w:val="28FE3988"/>
    <w:rsid w:val="2A263202"/>
    <w:rsid w:val="2C0B0DBF"/>
    <w:rsid w:val="2CC029D7"/>
    <w:rsid w:val="2E6F7274"/>
    <w:rsid w:val="2ED522CB"/>
    <w:rsid w:val="2FE83639"/>
    <w:rsid w:val="30314FE0"/>
    <w:rsid w:val="303E7002"/>
    <w:rsid w:val="30DC319E"/>
    <w:rsid w:val="31336B36"/>
    <w:rsid w:val="31526EB4"/>
    <w:rsid w:val="332B5D17"/>
    <w:rsid w:val="339A0072"/>
    <w:rsid w:val="33D939C5"/>
    <w:rsid w:val="3438143E"/>
    <w:rsid w:val="35520390"/>
    <w:rsid w:val="35533BE7"/>
    <w:rsid w:val="360F7B72"/>
    <w:rsid w:val="366B16B6"/>
    <w:rsid w:val="36FF3742"/>
    <w:rsid w:val="38082ACA"/>
    <w:rsid w:val="39120F31"/>
    <w:rsid w:val="3A814798"/>
    <w:rsid w:val="3E3C527C"/>
    <w:rsid w:val="3ED90D1D"/>
    <w:rsid w:val="401E32E5"/>
    <w:rsid w:val="40C57518"/>
    <w:rsid w:val="41F70870"/>
    <w:rsid w:val="42512946"/>
    <w:rsid w:val="42F03A18"/>
    <w:rsid w:val="43FB3DBF"/>
    <w:rsid w:val="44234724"/>
    <w:rsid w:val="449000D0"/>
    <w:rsid w:val="459E4A6E"/>
    <w:rsid w:val="46D56269"/>
    <w:rsid w:val="47D66741"/>
    <w:rsid w:val="47F95F8C"/>
    <w:rsid w:val="489B4D14"/>
    <w:rsid w:val="48FD1AAC"/>
    <w:rsid w:val="4C1A4723"/>
    <w:rsid w:val="4CC35B9E"/>
    <w:rsid w:val="4CCE2E6D"/>
    <w:rsid w:val="4D3A32CE"/>
    <w:rsid w:val="4DC50A07"/>
    <w:rsid w:val="4E031912"/>
    <w:rsid w:val="4E30022D"/>
    <w:rsid w:val="4E992277"/>
    <w:rsid w:val="4F3B1580"/>
    <w:rsid w:val="501A1195"/>
    <w:rsid w:val="50355FCF"/>
    <w:rsid w:val="50AE44EC"/>
    <w:rsid w:val="50BB64D4"/>
    <w:rsid w:val="5139389D"/>
    <w:rsid w:val="51FC6DA4"/>
    <w:rsid w:val="52F83A10"/>
    <w:rsid w:val="53E53868"/>
    <w:rsid w:val="540168F4"/>
    <w:rsid w:val="54260108"/>
    <w:rsid w:val="551408A9"/>
    <w:rsid w:val="55C5183E"/>
    <w:rsid w:val="55E3217E"/>
    <w:rsid w:val="56A622BD"/>
    <w:rsid w:val="57016C0B"/>
    <w:rsid w:val="5780017C"/>
    <w:rsid w:val="57AC301B"/>
    <w:rsid w:val="58410767"/>
    <w:rsid w:val="5AA6460A"/>
    <w:rsid w:val="5B5D6641"/>
    <w:rsid w:val="5BFB631F"/>
    <w:rsid w:val="5C3655A9"/>
    <w:rsid w:val="5C563555"/>
    <w:rsid w:val="5CAC13C7"/>
    <w:rsid w:val="5DC96060"/>
    <w:rsid w:val="5DDB01B6"/>
    <w:rsid w:val="5EF86B45"/>
    <w:rsid w:val="5FEE4850"/>
    <w:rsid w:val="617E0582"/>
    <w:rsid w:val="6247406C"/>
    <w:rsid w:val="659819C0"/>
    <w:rsid w:val="667F18FA"/>
    <w:rsid w:val="668018D0"/>
    <w:rsid w:val="68C24ECD"/>
    <w:rsid w:val="692B2E87"/>
    <w:rsid w:val="69967687"/>
    <w:rsid w:val="69FC398E"/>
    <w:rsid w:val="6A386990"/>
    <w:rsid w:val="6A684E95"/>
    <w:rsid w:val="6A6B74A1"/>
    <w:rsid w:val="6AC67AF8"/>
    <w:rsid w:val="6AED777A"/>
    <w:rsid w:val="6B8F438D"/>
    <w:rsid w:val="6BA0234D"/>
    <w:rsid w:val="6D2D43EF"/>
    <w:rsid w:val="714025F2"/>
    <w:rsid w:val="71D60F68"/>
    <w:rsid w:val="7524023C"/>
    <w:rsid w:val="75D51537"/>
    <w:rsid w:val="760B4F58"/>
    <w:rsid w:val="76E8442E"/>
    <w:rsid w:val="77830EED"/>
    <w:rsid w:val="78390437"/>
    <w:rsid w:val="78397B5B"/>
    <w:rsid w:val="78D90A96"/>
    <w:rsid w:val="79340A33"/>
    <w:rsid w:val="7B2B6A6E"/>
    <w:rsid w:val="7BC77B74"/>
    <w:rsid w:val="7C156B31"/>
    <w:rsid w:val="7C5C703D"/>
    <w:rsid w:val="7D2721ED"/>
    <w:rsid w:val="7D335CF6"/>
    <w:rsid w:val="7DFDB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ind w:left="2" w:leftChars="1" w:firstLine="640" w:firstLineChars="200"/>
    </w:pPr>
    <w:rPr>
      <w:rFonts w:eastAsia="仿宋_GB2312"/>
      <w:sz w:val="32"/>
    </w:rPr>
  </w:style>
  <w:style w:type="character" w:styleId="6">
    <w:name w:val="Hyperlink"/>
    <w:basedOn w:val="5"/>
    <w:qFormat/>
    <w:uiPriority w:val="0"/>
    <w:rPr>
      <w:color w:val="0000FF"/>
      <w:u w:val="none"/>
    </w:rPr>
  </w:style>
  <w:style w:type="character" w:customStyle="1" w:styleId="7">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2203</Words>
  <Characters>2381</Characters>
  <Lines>0</Lines>
  <Paragraphs>0</Paragraphs>
  <TotalTime>0</TotalTime>
  <ScaleCrop>false</ScaleCrop>
  <LinksUpToDate>false</LinksUpToDate>
  <CharactersWithSpaces>2423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2025-11-20T16:15:00Z</dcterms:created>
  <dc:creator>Q</dc:creator>
  <cp:lastModifiedBy>user</cp:lastModifiedBy>
  <cp:lastPrinted>2026-10-20T15:46:00Z</cp:lastPrinted>
  <dcterms:modified xsi:type="dcterms:W3CDTF">2026-10-27T19:08:30Z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428B1553FEA94B34AB551B69FF3B0244_13</vt:lpwstr>
  </property>
  <property fmtid="{D5CDD505-2E9C-101B-9397-08002B2CF9AE}" pid="4" name="KSOTemplateDocerSaveRecord">
    <vt:lpwstr>eyJoZGlkIjoiYzA1ZjgzMzUxMzgxZDI1OWU4NTBhZTlhMzk2NTNjODgiLCJ1c2VySWQiOiI0MTAwMjIzODAifQ==</vt:lpwstr>
  </property>
</Properties>
</file>