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55B2">
      <w:pPr>
        <w:jc w:val="center"/>
        <w:rPr>
          <w:rFonts w:hint="eastAsia" w:ascii="仿宋" w:hAnsi="仿宋" w:eastAsia="仿宋" w:cs="仿宋"/>
          <w:color w:val="auto"/>
          <w:sz w:val="32"/>
          <w:szCs w:val="32"/>
        </w:rPr>
      </w:pPr>
      <w:r>
        <w:rPr>
          <w:rFonts w:hint="eastAsia" w:ascii="方正小标宋简体" w:hAnsi="方正小标宋简体" w:eastAsia="方正小标宋简体" w:cs="方正小标宋简体"/>
          <w:color w:val="auto"/>
          <w:sz w:val="32"/>
          <w:szCs w:val="32"/>
          <w:lang w:val="en-US" w:eastAsia="zh-CN"/>
        </w:rPr>
        <w:t>特克斯县</w:t>
      </w:r>
      <w:r>
        <w:rPr>
          <w:rFonts w:hint="eastAsia" w:ascii="方正小标宋简体" w:hAnsi="方正小标宋简体" w:eastAsia="方正小标宋简体" w:cs="方正小标宋简体"/>
          <w:color w:val="auto"/>
          <w:sz w:val="32"/>
          <w:szCs w:val="32"/>
        </w:rPr>
        <w:t>国有建设用地使用权挂牌出让须知</w:t>
      </w:r>
    </w:p>
    <w:p w14:paraId="69612B40">
      <w:pPr>
        <w:jc w:val="center"/>
        <w:rPr>
          <w:rFonts w:hint="default" w:ascii="方正仿宋简体" w:hAnsi="方正仿宋简体" w:eastAsia="方正仿宋简体" w:cs="方正仿宋简体"/>
          <w:color w:val="auto"/>
          <w:sz w:val="32"/>
          <w:szCs w:val="32"/>
          <w:lang w:val="en-US"/>
        </w:rPr>
      </w:pPr>
      <w:r>
        <w:rPr>
          <w:rFonts w:hint="eastAsia" w:ascii="Times New Roman" w:hAnsi="Times New Roman" w:eastAsia="方正仿宋简体" w:cs="Times New Roman"/>
          <w:color w:val="auto"/>
          <w:sz w:val="32"/>
          <w:szCs w:val="32"/>
          <w:lang w:val="en-US" w:eastAsia="zh-CN"/>
        </w:rPr>
        <w:t>编号202615</w:t>
      </w:r>
      <w:r>
        <w:rPr>
          <w:rFonts w:hint="eastAsia" w:ascii="Times New Roman" w:hAnsi="Times New Roman" w:eastAsia="方正仿宋简体" w:cs="Times New Roman"/>
          <w:color w:val="auto"/>
          <w:sz w:val="32"/>
          <w:szCs w:val="32"/>
          <w:lang w:val="en-US" w:eastAsia="zh-CN"/>
        </w:rPr>
        <w:t>（特挂2026-16号）</w:t>
      </w:r>
    </w:p>
    <w:p w14:paraId="517E4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为规范本次国有建设用地使用权挂牌出让活动，根据《中华人民共和国土地管理法》《招标拍卖挂牌出让国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14:paraId="4F86C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一、竞买人资格确认</w:t>
      </w:r>
    </w:p>
    <w:p w14:paraId="67D55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1.竞买人需符合《</w:t>
      </w:r>
      <w:r>
        <w:rPr>
          <w:rFonts w:hint="eastAsia" w:ascii="方正仿宋简体" w:hAnsi="方正仿宋简体" w:eastAsia="方正仿宋简体" w:cs="方正仿宋简体"/>
          <w:color w:val="auto"/>
          <w:sz w:val="32"/>
          <w:szCs w:val="32"/>
          <w:lang w:val="en-US" w:eastAsia="zh-CN"/>
        </w:rPr>
        <w:t>特克斯</w:t>
      </w:r>
      <w:r>
        <w:rPr>
          <w:rFonts w:hint="eastAsia" w:ascii="方正仿宋简体" w:hAnsi="方正仿宋简体" w:eastAsia="方正仿宋简体" w:cs="方正仿宋简体"/>
          <w:color w:val="auto"/>
          <w:sz w:val="32"/>
          <w:szCs w:val="32"/>
        </w:rPr>
        <w:t>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资源局国有土地使用权挂牌出让公告》中明确的资格要求，境内外自然人、法人和其他组织（法律法规禁止参与的除外）均可申请，失信被执行人、涉土违法违规受限主体不得参与。</w:t>
      </w:r>
    </w:p>
    <w:p w14:paraId="21B763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2.联合竞买需提交书面联合协议，明确主竞买人、各方出资比例、权利义务及利益分配方式，联合竞买各方均需符合资格要求。</w:t>
      </w:r>
    </w:p>
    <w:p w14:paraId="71D31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3.竞买人提交的申请材料（营业执照、身份证明</w:t>
      </w:r>
      <w:r>
        <w:rPr>
          <w:rFonts w:hint="eastAsia" w:ascii="方正仿宋简体" w:hAnsi="方正仿宋简体" w:eastAsia="方正仿宋简体" w:cs="方正仿宋简体"/>
          <w:color w:val="auto"/>
          <w:sz w:val="32"/>
          <w:szCs w:val="32"/>
          <w:lang w:eastAsia="zh-CN"/>
        </w:rPr>
        <w:t>（法人、自然人、委托代理人、委托书</w:t>
      </w:r>
      <w:r>
        <w:rPr>
          <w:rFonts w:hint="eastAsia" w:ascii="方正仿宋简体" w:hAnsi="方正仿宋简体" w:eastAsia="方正仿宋简体" w:cs="方正仿宋简体"/>
          <w:color w:val="auto"/>
          <w:sz w:val="32"/>
          <w:szCs w:val="32"/>
        </w:rPr>
        <w:t>、资</w:t>
      </w:r>
      <w:r>
        <w:rPr>
          <w:rFonts w:hint="eastAsia" w:ascii="方正仿宋简体" w:hAnsi="方正仿宋简体" w:eastAsia="方正仿宋简体" w:cs="方正仿宋简体"/>
          <w:color w:val="auto"/>
          <w:sz w:val="32"/>
          <w:szCs w:val="32"/>
          <w:lang w:eastAsia="zh-CN"/>
        </w:rPr>
        <w:t>信</w:t>
      </w:r>
      <w:r>
        <w:rPr>
          <w:rFonts w:hint="eastAsia" w:ascii="方正仿宋简体" w:hAnsi="方正仿宋简体" w:eastAsia="方正仿宋简体" w:cs="方正仿宋简体"/>
          <w:color w:val="auto"/>
          <w:sz w:val="32"/>
          <w:szCs w:val="32"/>
        </w:rPr>
        <w:t>证明、</w:t>
      </w:r>
      <w:r>
        <w:rPr>
          <w:rFonts w:hint="eastAsia" w:ascii="方正仿宋简体" w:hAnsi="方正仿宋简体" w:eastAsia="方正仿宋简体" w:cs="方正仿宋简体"/>
          <w:color w:val="auto"/>
          <w:sz w:val="32"/>
          <w:szCs w:val="32"/>
          <w:lang w:eastAsia="zh-CN"/>
        </w:rPr>
        <w:t>企业信用报告</w:t>
      </w:r>
      <w:r>
        <w:rPr>
          <w:rFonts w:hint="eastAsia" w:ascii="方正仿宋简体" w:hAnsi="方正仿宋简体" w:eastAsia="方正仿宋简体" w:cs="方正仿宋简体"/>
          <w:color w:val="auto"/>
          <w:sz w:val="32"/>
          <w:szCs w:val="32"/>
        </w:rPr>
        <w:t>无违法违规记录承诺书等）需真实、合法、有效，若存在虚假材料，将取消竞买资格，已缴纳的竞买保证金不予退还。</w:t>
      </w:r>
    </w:p>
    <w:p w14:paraId="3E9B4C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4.资格审查由</w:t>
      </w:r>
      <w:r>
        <w:rPr>
          <w:rFonts w:hint="eastAsia" w:ascii="方正仿宋简体" w:hAnsi="方正仿宋简体" w:eastAsia="方正仿宋简体" w:cs="方正仿宋简体"/>
          <w:color w:val="auto"/>
          <w:sz w:val="32"/>
          <w:szCs w:val="32"/>
          <w:lang w:eastAsia="zh-CN"/>
        </w:rPr>
        <w:t>伊犁州</w:t>
      </w:r>
      <w:r>
        <w:rPr>
          <w:rFonts w:hint="eastAsia" w:ascii="方正仿宋简体" w:hAnsi="方正仿宋简体" w:eastAsia="方正仿宋简体" w:cs="方正仿宋简体"/>
          <w:color w:val="auto"/>
          <w:sz w:val="32"/>
          <w:szCs w:val="32"/>
        </w:rPr>
        <w:t>公共资源交易中心会同</w:t>
      </w:r>
      <w:r>
        <w:rPr>
          <w:rFonts w:hint="eastAsia" w:ascii="方正仿宋简体" w:hAnsi="方正仿宋简体" w:eastAsia="方正仿宋简体" w:cs="方正仿宋简体"/>
          <w:color w:val="auto"/>
          <w:sz w:val="32"/>
          <w:szCs w:val="32"/>
          <w:lang w:val="en-US" w:eastAsia="zh-CN"/>
        </w:rPr>
        <w:t>特克斯</w:t>
      </w:r>
      <w:r>
        <w:rPr>
          <w:rFonts w:hint="eastAsia" w:ascii="方正仿宋简体" w:hAnsi="方正仿宋简体" w:eastAsia="方正仿宋简体" w:cs="方正仿宋简体"/>
          <w:color w:val="auto"/>
          <w:sz w:val="32"/>
          <w:szCs w:val="32"/>
          <w:lang w:eastAsia="zh-CN"/>
        </w:rPr>
        <w:t>县</w:t>
      </w:r>
      <w:r>
        <w:rPr>
          <w:rFonts w:hint="eastAsia" w:ascii="方正仿宋简体" w:hAnsi="方正仿宋简体" w:eastAsia="方正仿宋简体" w:cs="方正仿宋简体"/>
          <w:color w:val="auto"/>
          <w:sz w:val="32"/>
          <w:szCs w:val="32"/>
        </w:rPr>
        <w:t>自然资源局共同完成，审查结果以《竞买资格确认书》为准，审查不合格者不得参与竞价。</w:t>
      </w:r>
    </w:p>
    <w:p w14:paraId="2181C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二、出让文件获取与地块踏勘 </w:t>
      </w:r>
    </w:p>
    <w:p w14:paraId="58EE7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1.竞买人可自</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9</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4</w:t>
      </w:r>
      <w:r>
        <w:rPr>
          <w:rFonts w:hint="eastAsia" w:ascii="方正仿宋简体" w:hAnsi="方正仿宋简体" w:eastAsia="方正仿宋简体" w:cs="方正仿宋简体"/>
          <w:color w:val="auto"/>
          <w:sz w:val="32"/>
          <w:szCs w:val="32"/>
          <w:highlight w:val="none"/>
        </w:rPr>
        <w:t>日至20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9</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23</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rPr>
        <w:t>，通过</w:t>
      </w:r>
      <w:r>
        <w:rPr>
          <w:rStyle w:val="7"/>
          <w:rFonts w:hint="eastAsia" w:ascii="方正仿宋简体" w:hAnsi="方正仿宋简体" w:eastAsia="方正仿宋简体" w:cs="方正仿宋简体"/>
          <w:b w:val="0"/>
          <w:bCs/>
          <w:color w:val="auto"/>
          <w:kern w:val="0"/>
          <w:sz w:val="32"/>
          <w:szCs w:val="32"/>
        </w:rPr>
        <w:t>伊犁州公共资源电子交易系统（网址：</w:t>
      </w:r>
      <w:r>
        <w:rPr>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7"/>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"https://ggzy.xjyi.gov.cn" </w:instrText>
      </w:r>
      <w:r>
        <w:rPr>
          <w:rStyle w:val="7"/>
          <w:rFonts w:hint="eastAsia" w:ascii="方正仿宋简体" w:hAnsi="方正仿宋简体" w:eastAsia="方正仿宋简体" w:cs="方正仿宋简体"/>
          <w:b w:val="0"/>
          <w:bCs/>
          <w:color w:val="auto"/>
          <w:kern w:val="0"/>
          <w:sz w:val="32"/>
          <w:szCs w:val="32"/>
        </w:rPr>
        <w:fldChar w:fldCharType="separate"/>
      </w:r>
      <w:r>
        <w:rPr>
          <w:rFonts w:hint="eastAsia" w:ascii="方正仿宋简体" w:hAnsi="方正仿宋简体" w:eastAsia="方正仿宋简体" w:cs="方正仿宋简体"/>
          <w:b w:val="0"/>
          <w:bCs/>
          <w:color w:val="auto"/>
          <w:kern w:val="0"/>
          <w:sz w:val="32"/>
          <w:szCs w:val="32"/>
          <w:u w:val="single"/>
        </w:rPr>
        <w:t>http</w:t>
      </w:r>
      <w:r>
        <w:rPr>
          <w:rFonts w:hint="eastAsia" w:ascii="方正仿宋简体" w:hAnsi="方正仿宋简体" w:eastAsia="方正仿宋简体" w:cs="方正仿宋简体"/>
          <w:b w:val="0"/>
          <w:bCs/>
          <w:color w:val="auto"/>
          <w:kern w:val="0"/>
          <w:sz w:val="32"/>
          <w:szCs w:val="32"/>
          <w:u w:val="single"/>
          <w:lang w:val="en-US" w:eastAsia="zh-CN"/>
        </w:rPr>
        <w:t>s</w:t>
      </w:r>
      <w:r>
        <w:rPr>
          <w:rFonts w:hint="eastAsia" w:ascii="方正仿宋简体" w:hAnsi="方正仿宋简体" w:eastAsia="方正仿宋简体" w:cs="方正仿宋简体"/>
          <w:b w:val="0"/>
          <w:bCs/>
          <w:color w:val="auto"/>
          <w:kern w:val="0"/>
          <w:sz w:val="32"/>
          <w:szCs w:val="32"/>
          <w:u w:val="single"/>
        </w:rPr>
        <w:t>://</w:t>
      </w:r>
      <w:r>
        <w:rPr>
          <w:rFonts w:hint="eastAsia" w:ascii="方正仿宋简体" w:hAnsi="方正仿宋简体" w:eastAsia="方正仿宋简体" w:cs="方正仿宋简体"/>
          <w:b w:val="0"/>
          <w:bCs/>
          <w:color w:val="auto"/>
          <w:kern w:val="0"/>
          <w:sz w:val="32"/>
          <w:szCs w:val="32"/>
          <w:u w:val="single"/>
          <w:lang w:val="en-US" w:eastAsia="zh-CN"/>
        </w:rPr>
        <w:t>ggzy.xjyl.gov.cn</w:t>
      </w:r>
      <w:r>
        <w:rPr>
          <w:rStyle w:val="7"/>
          <w:rFonts w:hint="eastAsia" w:ascii="方正仿宋简体" w:hAnsi="方正仿宋简体" w:eastAsia="方正仿宋简体" w:cs="方正仿宋简体"/>
          <w:b w:val="0"/>
          <w:bCs/>
          <w:color w:val="auto"/>
          <w:kern w:val="0"/>
          <w:sz w:val="32"/>
          <w:szCs w:val="32"/>
        </w:rPr>
        <w:fldChar w:fldCharType="end"/>
      </w:r>
      <w:r>
        <w:rPr>
          <w:rStyle w:val="7"/>
          <w:rFonts w:hint="eastAsia" w:ascii="方正仿宋简体" w:hAnsi="方正仿宋简体" w:eastAsia="方正仿宋简体" w:cs="方正仿宋简体"/>
          <w:b w:val="0"/>
          <w:bCs/>
          <w:color w:val="auto"/>
          <w:kern w:val="0"/>
          <w:sz w:val="32"/>
          <w:szCs w:val="32"/>
        </w:rPr>
        <w:t>)</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下载</w:t>
      </w:r>
      <w:r>
        <w:rPr>
          <w:rFonts w:hint="eastAsia" w:ascii="方正仿宋简体" w:hAnsi="方正仿宋简体" w:eastAsia="方正仿宋简体" w:cs="方正仿宋简体"/>
          <w:color w:val="auto"/>
          <w:sz w:val="32"/>
          <w:szCs w:val="32"/>
          <w:highlight w:val="none"/>
        </w:rPr>
        <w:t>挂牌出让</w:t>
      </w:r>
      <w:r>
        <w:rPr>
          <w:rFonts w:hint="eastAsia" w:ascii="方正仿宋简体" w:hAnsi="方正仿宋简体" w:eastAsia="方正仿宋简体" w:cs="方正仿宋简体"/>
          <w:color w:val="auto"/>
          <w:sz w:val="32"/>
          <w:szCs w:val="32"/>
          <w:highlight w:val="none"/>
          <w:lang w:val="en-US" w:eastAsia="zh-CN"/>
        </w:rPr>
        <w:t>相关资料。</w:t>
      </w:r>
    </w:p>
    <w:p w14:paraId="0F617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14:paraId="2AA5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三、竞买申请与保证金缴纳</w:t>
      </w:r>
    </w:p>
    <w:p w14:paraId="6033F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1.竞买人需在</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9</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23</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highlight w:val="none"/>
          <w:lang w:val="en-US" w:eastAsia="zh-CN"/>
        </w:rPr>
        <w:t>19:00</w:t>
      </w:r>
      <w:r>
        <w:rPr>
          <w:rFonts w:hint="eastAsia" w:ascii="方正仿宋简体" w:hAnsi="方正仿宋简体" w:eastAsia="方正仿宋简体" w:cs="方正仿宋简体"/>
          <w:color w:val="auto"/>
          <w:sz w:val="32"/>
          <w:szCs w:val="32"/>
        </w:rPr>
        <w:t>前，</w:t>
      </w:r>
      <w:r>
        <w:rPr>
          <w:rFonts w:hint="eastAsia" w:ascii="方正仿宋简体" w:hAnsi="方正仿宋简体" w:eastAsia="方正仿宋简体" w:cs="方正仿宋简体"/>
          <w:color w:val="auto"/>
          <w:sz w:val="32"/>
          <w:szCs w:val="32"/>
          <w:lang w:eastAsia="zh-CN"/>
        </w:rPr>
        <w:t>在</w:t>
      </w:r>
      <w:r>
        <w:rPr>
          <w:rFonts w:hint="eastAsia" w:ascii="方正仿宋简体" w:hAnsi="方正仿宋简体" w:eastAsia="方正仿宋简体" w:cs="方正仿宋简体"/>
          <w:color w:val="auto"/>
          <w:sz w:val="32"/>
          <w:szCs w:val="32"/>
        </w:rPr>
        <w:t>交易</w:t>
      </w:r>
      <w:r>
        <w:rPr>
          <w:rFonts w:hint="eastAsia" w:ascii="方正仿宋简体" w:hAnsi="方正仿宋简体" w:eastAsia="方正仿宋简体" w:cs="方正仿宋简体"/>
          <w:color w:val="auto"/>
          <w:sz w:val="32"/>
          <w:szCs w:val="32"/>
          <w:lang w:val="en-US" w:eastAsia="zh-CN"/>
        </w:rPr>
        <w:t>平台</w:t>
      </w:r>
      <w:r>
        <w:rPr>
          <w:rFonts w:hint="eastAsia" w:ascii="方正仿宋简体" w:hAnsi="方正仿宋简体" w:eastAsia="方正仿宋简体" w:cs="方正仿宋简体"/>
          <w:color w:val="auto"/>
          <w:sz w:val="32"/>
          <w:szCs w:val="32"/>
        </w:rPr>
        <w:t>提交《竞买申请书》及相关</w:t>
      </w:r>
      <w:r>
        <w:rPr>
          <w:rFonts w:hint="eastAsia" w:ascii="方正仿宋简体" w:hAnsi="方正仿宋简体" w:eastAsia="方正仿宋简体" w:cs="方正仿宋简体"/>
          <w:color w:val="auto"/>
          <w:sz w:val="32"/>
          <w:szCs w:val="32"/>
          <w:lang w:val="en-US" w:eastAsia="zh-CN"/>
        </w:rPr>
        <w:t>报名</w:t>
      </w:r>
      <w:r>
        <w:rPr>
          <w:rFonts w:hint="eastAsia" w:ascii="方正仿宋简体" w:hAnsi="方正仿宋简体" w:eastAsia="方正仿宋简体" w:cs="方正仿宋简体"/>
          <w:color w:val="auto"/>
          <w:sz w:val="32"/>
          <w:szCs w:val="32"/>
        </w:rPr>
        <w:t>材料，逾期提交视为无效申请。</w:t>
      </w:r>
    </w:p>
    <w:p w14:paraId="2951D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2.竞买保证金缴纳标准按《</w:t>
      </w:r>
      <w:r>
        <w:rPr>
          <w:rFonts w:hint="eastAsia" w:ascii="方正仿宋简体" w:hAnsi="方正仿宋简体" w:eastAsia="方正仿宋简体" w:cs="方正仿宋简体"/>
          <w:color w:val="auto"/>
          <w:sz w:val="32"/>
          <w:szCs w:val="32"/>
          <w:lang w:val="en-US" w:eastAsia="zh-CN"/>
        </w:rPr>
        <w:t>特克斯</w:t>
      </w:r>
      <w:r>
        <w:rPr>
          <w:rFonts w:hint="eastAsia" w:ascii="方正仿宋简体" w:hAnsi="方正仿宋简体" w:eastAsia="方正仿宋简体" w:cs="方正仿宋简体"/>
          <w:color w:val="auto"/>
          <w:sz w:val="32"/>
          <w:szCs w:val="32"/>
        </w:rPr>
        <w:t>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资源局国有土地使用权挂牌出让公告》执行，竞买人需在</w:t>
      </w:r>
      <w:r>
        <w:rPr>
          <w:rFonts w:hint="eastAsia" w:ascii="方正仿宋简体" w:hAnsi="方正仿宋简体" w:eastAsia="方正仿宋简体" w:cs="方正仿宋简体"/>
          <w:color w:val="auto"/>
          <w:sz w:val="32"/>
          <w:szCs w:val="32"/>
          <w:lang w:val="en-US" w:eastAsia="zh-CN"/>
        </w:rPr>
        <w:t>2026年10月8日京时</w:t>
      </w:r>
      <w:r>
        <w:rPr>
          <w:rFonts w:hint="eastAsia" w:ascii="方正仿宋简体" w:hAnsi="方正仿宋简体" w:eastAsia="方正仿宋简体" w:cs="方正仿宋简体"/>
          <w:color w:val="auto"/>
          <w:sz w:val="32"/>
          <w:szCs w:val="32"/>
          <w:lang w:val="en-US" w:eastAsia="zh-CN"/>
        </w:rPr>
        <w:t>18：00</w:t>
      </w:r>
      <w:r>
        <w:rPr>
          <w:rFonts w:hint="eastAsia" w:ascii="方正仿宋简体" w:hAnsi="方正仿宋简体" w:eastAsia="方正仿宋简体" w:cs="方正仿宋简体"/>
          <w:color w:val="auto"/>
          <w:sz w:val="32"/>
          <w:szCs w:val="32"/>
        </w:rPr>
        <w:t>前将保证金足额</w:t>
      </w:r>
      <w:r>
        <w:rPr>
          <w:rFonts w:hint="eastAsia" w:ascii="方正仿宋简体" w:hAnsi="方正仿宋简体" w:eastAsia="方正仿宋简体" w:cs="方正仿宋简体"/>
          <w:color w:val="auto"/>
          <w:sz w:val="32"/>
          <w:szCs w:val="32"/>
          <w:lang w:val="en-US" w:eastAsia="zh-CN"/>
        </w:rPr>
        <w:t>交</w:t>
      </w:r>
      <w:r>
        <w:rPr>
          <w:rFonts w:hint="eastAsia" w:ascii="方正仿宋简体" w:hAnsi="方正仿宋简体" w:eastAsia="方正仿宋简体" w:cs="方正仿宋简体"/>
          <w:color w:val="auto"/>
          <w:sz w:val="32"/>
          <w:szCs w:val="32"/>
        </w:rPr>
        <w:t>至指定账户（账户名称：</w:t>
      </w:r>
      <w:r>
        <w:rPr>
          <w:rFonts w:hint="eastAsia" w:ascii="方正仿宋简体" w:hAnsi="方正仿宋简体" w:eastAsia="方正仿宋简体" w:cs="方正仿宋简体"/>
          <w:color w:val="auto"/>
          <w:sz w:val="32"/>
          <w:szCs w:val="32"/>
          <w:lang w:val="en-US" w:eastAsia="zh-CN"/>
        </w:rPr>
        <w:t>交易平台自动生成的建设银行虚拟子账户</w:t>
      </w:r>
      <w:r>
        <w:rPr>
          <w:rFonts w:hint="eastAsia" w:ascii="方正仿宋简体" w:hAnsi="方正仿宋简体" w:eastAsia="方正仿宋简体" w:cs="方正仿宋简体"/>
          <w:color w:val="auto"/>
          <w:sz w:val="32"/>
          <w:szCs w:val="32"/>
        </w:rPr>
        <w:t>），保证金以银行到账时间为准，逾期未到账的视为未完成申请。</w:t>
      </w:r>
    </w:p>
    <w:p w14:paraId="0FB7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3.保证金缴纳后，竞买人需</w:t>
      </w:r>
      <w:r>
        <w:rPr>
          <w:rFonts w:hint="eastAsia" w:ascii="方正仿宋简体" w:hAnsi="方正仿宋简体" w:eastAsia="方正仿宋简体" w:cs="方正仿宋简体"/>
          <w:color w:val="auto"/>
          <w:sz w:val="32"/>
          <w:szCs w:val="32"/>
          <w:lang w:val="en-US" w:eastAsia="zh-CN"/>
        </w:rPr>
        <w:t>将</w:t>
      </w:r>
      <w:r>
        <w:rPr>
          <w:rFonts w:hint="eastAsia" w:ascii="方正仿宋简体" w:hAnsi="方正仿宋简体" w:eastAsia="方正仿宋简体" w:cs="方正仿宋简体"/>
          <w:color w:val="auto"/>
          <w:sz w:val="32"/>
          <w:szCs w:val="32"/>
        </w:rPr>
        <w:t>银行转账凭证</w:t>
      </w:r>
      <w:r>
        <w:rPr>
          <w:rFonts w:hint="eastAsia" w:ascii="方正仿宋简体" w:hAnsi="方正仿宋简体" w:eastAsia="方正仿宋简体" w:cs="方正仿宋简体"/>
          <w:color w:val="auto"/>
          <w:sz w:val="32"/>
          <w:szCs w:val="32"/>
          <w:lang w:val="en-US" w:eastAsia="zh-CN"/>
        </w:rPr>
        <w:t>复印件交至州公共资源</w:t>
      </w:r>
      <w:r>
        <w:rPr>
          <w:rFonts w:hint="eastAsia" w:ascii="方正仿宋简体" w:hAnsi="方正仿宋简体" w:eastAsia="方正仿宋简体" w:cs="方正仿宋简体"/>
          <w:color w:val="auto"/>
          <w:sz w:val="32"/>
          <w:szCs w:val="32"/>
        </w:rPr>
        <w:t>交易中心，未按规定缴纳保证金的，不得取得竞买资格。</w:t>
      </w:r>
    </w:p>
    <w:p w14:paraId="6C27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4.未竞得人的竞买保证金，将在挂牌结束后</w:t>
      </w:r>
      <w:r>
        <w:rPr>
          <w:rFonts w:hint="eastAsia" w:ascii="方正仿宋简体" w:hAnsi="方正仿宋简体" w:eastAsia="方正仿宋简体" w:cs="方正仿宋简体"/>
          <w:color w:val="auto"/>
          <w:sz w:val="32"/>
          <w:szCs w:val="32"/>
          <w:lang w:val="en-US" w:eastAsia="zh-CN"/>
        </w:rPr>
        <w:t>3</w:t>
      </w:r>
      <w:r>
        <w:rPr>
          <w:rFonts w:hint="eastAsia" w:ascii="方正仿宋简体" w:hAnsi="方正仿宋简体" w:eastAsia="方正仿宋简体" w:cs="方正仿宋简体"/>
          <w:color w:val="auto"/>
          <w:sz w:val="32"/>
          <w:szCs w:val="32"/>
        </w:rPr>
        <w:t>个工作日内无息退还；竞得人的保证金自动转为</w:t>
      </w:r>
      <w:r>
        <w:rPr>
          <w:rFonts w:hint="eastAsia" w:ascii="方正仿宋简体" w:hAnsi="方正仿宋简体" w:eastAsia="方正仿宋简体" w:cs="方正仿宋简体"/>
          <w:color w:val="auto"/>
          <w:sz w:val="32"/>
          <w:szCs w:val="32"/>
          <w:lang w:val="en-US" w:eastAsia="zh-CN"/>
        </w:rPr>
        <w:t>成交价款</w:t>
      </w:r>
      <w:r>
        <w:rPr>
          <w:rFonts w:hint="eastAsia" w:ascii="方正仿宋简体" w:hAnsi="方正仿宋简体" w:eastAsia="方正仿宋简体" w:cs="方正仿宋简体"/>
          <w:color w:val="auto"/>
          <w:sz w:val="32"/>
          <w:szCs w:val="32"/>
        </w:rPr>
        <w:t>。</w:t>
      </w:r>
    </w:p>
    <w:p w14:paraId="15A5F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四、挂牌竞价规则</w:t>
      </w:r>
    </w:p>
    <w:p w14:paraId="762ED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1.挂牌竞价时间为20</w:t>
      </w:r>
      <w:r>
        <w:rPr>
          <w:rFonts w:hint="eastAsia" w:ascii="方正仿宋简体" w:hAnsi="方正仿宋简体" w:eastAsia="方正仿宋简体" w:cs="方正仿宋简体"/>
          <w:color w:val="auto"/>
          <w:sz w:val="32"/>
          <w:szCs w:val="32"/>
          <w:lang w:val="en-US" w:eastAsia="zh-CN"/>
        </w:rPr>
        <w:t>26</w:t>
      </w:r>
      <w:r>
        <w:rPr>
          <w:rFonts w:hint="eastAsia" w:ascii="方正仿宋简体" w:hAnsi="方正仿宋简体" w:eastAsia="方正仿宋简体" w:cs="方正仿宋简体"/>
          <w:color w:val="auto"/>
          <w:sz w:val="32"/>
          <w:szCs w:val="32"/>
        </w:rPr>
        <w:t>年</w:t>
      </w:r>
      <w:r>
        <w:rPr>
          <w:rFonts w:hint="eastAsia" w:ascii="方正仿宋简体" w:hAnsi="方正仿宋简体" w:eastAsia="方正仿宋简体" w:cs="方正仿宋简体"/>
          <w:color w:val="auto"/>
          <w:sz w:val="32"/>
          <w:szCs w:val="32"/>
          <w:lang w:val="en-US" w:eastAsia="zh-CN"/>
        </w:rPr>
        <w:t>9</w:t>
      </w:r>
      <w:r>
        <w:rPr>
          <w:rFonts w:hint="eastAsia" w:ascii="方正仿宋简体" w:hAnsi="方正仿宋简体" w:eastAsia="方正仿宋简体" w:cs="方正仿宋简体"/>
          <w:color w:val="auto"/>
          <w:sz w:val="32"/>
          <w:szCs w:val="32"/>
        </w:rPr>
        <w:t>月</w:t>
      </w:r>
      <w:r>
        <w:rPr>
          <w:rFonts w:hint="eastAsia" w:ascii="方正仿宋简体" w:hAnsi="方正仿宋简体" w:eastAsia="方正仿宋简体" w:cs="方正仿宋简体"/>
          <w:color w:val="auto"/>
          <w:sz w:val="32"/>
          <w:szCs w:val="32"/>
          <w:lang w:val="en-US" w:eastAsia="zh-CN"/>
        </w:rPr>
        <w:t>24</w:t>
      </w:r>
      <w:r>
        <w:rPr>
          <w:rFonts w:hint="eastAsia" w:ascii="方正仿宋简体" w:hAnsi="方正仿宋简体" w:eastAsia="方正仿宋简体" w:cs="方正仿宋简体"/>
          <w:color w:val="auto"/>
          <w:sz w:val="32"/>
          <w:szCs w:val="32"/>
        </w:rPr>
        <w:t>日</w:t>
      </w:r>
      <w:r>
        <w:rPr>
          <w:rFonts w:hint="eastAsia" w:ascii="方正仿宋简体" w:hAnsi="方正仿宋简体" w:eastAsia="方正仿宋简体" w:cs="方正仿宋简体"/>
          <w:color w:val="auto"/>
          <w:sz w:val="32"/>
          <w:szCs w:val="32"/>
          <w:lang w:val="en-US" w:eastAsia="zh-CN"/>
        </w:rPr>
        <w:t>10:00</w:t>
      </w:r>
      <w:r>
        <w:rPr>
          <w:rFonts w:hint="eastAsia" w:ascii="方正仿宋简体" w:hAnsi="方正仿宋简体" w:eastAsia="方正仿宋简体" w:cs="方正仿宋简体"/>
          <w:color w:val="auto"/>
          <w:sz w:val="32"/>
          <w:szCs w:val="32"/>
        </w:rPr>
        <w:t>至20</w:t>
      </w:r>
      <w:r>
        <w:rPr>
          <w:rFonts w:hint="eastAsia" w:ascii="方正仿宋简体" w:hAnsi="方正仿宋简体" w:eastAsia="方正仿宋简体" w:cs="方正仿宋简体"/>
          <w:color w:val="auto"/>
          <w:sz w:val="32"/>
          <w:szCs w:val="32"/>
          <w:lang w:val="en-US" w:eastAsia="zh-CN"/>
        </w:rPr>
        <w:t>26</w:t>
      </w:r>
      <w:r>
        <w:rPr>
          <w:rFonts w:hint="eastAsia" w:ascii="方正仿宋简体" w:hAnsi="方正仿宋简体" w:eastAsia="方正仿宋简体" w:cs="方正仿宋简体"/>
          <w:color w:val="auto"/>
          <w:sz w:val="32"/>
          <w:szCs w:val="32"/>
        </w:rPr>
        <w:t>年</w:t>
      </w:r>
      <w:r>
        <w:rPr>
          <w:rFonts w:hint="eastAsia" w:ascii="方正仿宋简体" w:hAnsi="方正仿宋简体" w:eastAsia="方正仿宋简体" w:cs="方正仿宋简体"/>
          <w:color w:val="auto"/>
          <w:sz w:val="32"/>
          <w:szCs w:val="32"/>
          <w:lang w:val="en-US" w:eastAsia="zh-CN"/>
        </w:rPr>
        <w:t>10</w:t>
      </w:r>
      <w:r>
        <w:rPr>
          <w:rFonts w:hint="eastAsia" w:ascii="方正仿宋简体" w:hAnsi="方正仿宋简体" w:eastAsia="方正仿宋简体" w:cs="方正仿宋简体"/>
          <w:color w:val="auto"/>
          <w:sz w:val="32"/>
          <w:szCs w:val="32"/>
        </w:rPr>
        <w:t>月</w:t>
      </w:r>
      <w:r>
        <w:rPr>
          <w:rFonts w:hint="eastAsia" w:ascii="方正仿宋简体" w:hAnsi="方正仿宋简体" w:eastAsia="方正仿宋简体" w:cs="方正仿宋简体"/>
          <w:color w:val="auto"/>
          <w:sz w:val="32"/>
          <w:szCs w:val="32"/>
          <w:lang w:val="en-US" w:eastAsia="zh-CN"/>
        </w:rPr>
        <w:t>10</w:t>
      </w:r>
      <w:r>
        <w:rPr>
          <w:rFonts w:hint="eastAsia" w:ascii="方正仿宋简体" w:hAnsi="方正仿宋简体" w:eastAsia="方正仿宋简体" w:cs="方正仿宋简体"/>
          <w:color w:val="auto"/>
          <w:sz w:val="32"/>
          <w:szCs w:val="32"/>
        </w:rPr>
        <w:t>日</w:t>
      </w:r>
      <w:r>
        <w:rPr>
          <w:rFonts w:hint="eastAsia" w:ascii="方正仿宋简体" w:hAnsi="方正仿宋简体" w:eastAsia="方正仿宋简体" w:cs="方正仿宋简体"/>
          <w:color w:val="auto"/>
          <w:sz w:val="32"/>
          <w:szCs w:val="32"/>
          <w:lang w:val="en-US" w:eastAsia="zh-CN"/>
        </w:rPr>
        <w:t>12:00</w:t>
      </w:r>
      <w:r>
        <w:rPr>
          <w:rFonts w:hint="eastAsia" w:ascii="方正仿宋简体" w:hAnsi="方正仿宋简体" w:eastAsia="方正仿宋简体" w:cs="方正仿宋简体"/>
          <w:color w:val="auto"/>
          <w:sz w:val="32"/>
          <w:szCs w:val="32"/>
        </w:rPr>
        <w:t>，竞价通过</w:t>
      </w:r>
      <w:r>
        <w:rPr>
          <w:rStyle w:val="7"/>
          <w:rFonts w:hint="eastAsia" w:ascii="方正仿宋简体" w:hAnsi="方正仿宋简体" w:eastAsia="方正仿宋简体" w:cs="方正仿宋简体"/>
          <w:b w:val="0"/>
          <w:bCs/>
          <w:color w:val="auto"/>
          <w:kern w:val="0"/>
          <w:sz w:val="32"/>
          <w:szCs w:val="32"/>
        </w:rPr>
        <w:t>伊犁州公共资源电子交易系统（网址</w:t>
      </w:r>
      <w:r>
        <w:rPr>
          <w:rStyle w:val="7"/>
          <w:rFonts w:hint="eastAsia" w:ascii="方正仿宋简体" w:hAnsi="方正仿宋简体" w:eastAsia="方正仿宋简体" w:cs="方正仿宋简体"/>
          <w:b w:val="0"/>
          <w:bCs/>
          <w:color w:val="auto"/>
          <w:kern w:val="0"/>
          <w:sz w:val="32"/>
          <w:szCs w:val="32"/>
        </w:rPr>
        <w:t>：</w:t>
      </w:r>
      <w:r>
        <w:rPr>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7"/>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"https://ggzy.xjyi.gov.cn" </w:instrText>
      </w:r>
      <w:r>
        <w:rPr>
          <w:rStyle w:val="7"/>
          <w:rFonts w:hint="eastAsia" w:ascii="方正仿宋简体" w:hAnsi="方正仿宋简体" w:eastAsia="方正仿宋简体" w:cs="方正仿宋简体"/>
          <w:b w:val="0"/>
          <w:bCs/>
          <w:color w:val="auto"/>
          <w:kern w:val="0"/>
          <w:sz w:val="32"/>
          <w:szCs w:val="32"/>
        </w:rPr>
        <w:fldChar w:fldCharType="separate"/>
      </w:r>
      <w:r>
        <w:rPr>
          <w:rFonts w:hint="eastAsia" w:ascii="方正仿宋简体" w:hAnsi="方正仿宋简体" w:eastAsia="方正仿宋简体" w:cs="方正仿宋简体"/>
          <w:b w:val="0"/>
          <w:bCs/>
          <w:color w:val="auto"/>
          <w:kern w:val="0"/>
          <w:sz w:val="32"/>
          <w:szCs w:val="32"/>
          <w:u w:val="single"/>
        </w:rPr>
        <w:t>http</w:t>
      </w:r>
      <w:r>
        <w:rPr>
          <w:rFonts w:hint="eastAsia" w:ascii="方正仿宋简体" w:hAnsi="方正仿宋简体" w:eastAsia="方正仿宋简体" w:cs="方正仿宋简体"/>
          <w:b w:val="0"/>
          <w:bCs/>
          <w:color w:val="auto"/>
          <w:kern w:val="0"/>
          <w:sz w:val="32"/>
          <w:szCs w:val="32"/>
          <w:u w:val="single"/>
          <w:lang w:val="en-US" w:eastAsia="zh-CN"/>
        </w:rPr>
        <w:t>s</w:t>
      </w:r>
      <w:r>
        <w:rPr>
          <w:rFonts w:hint="eastAsia" w:ascii="方正仿宋简体" w:hAnsi="方正仿宋简体" w:eastAsia="方正仿宋简体" w:cs="方正仿宋简体"/>
          <w:b w:val="0"/>
          <w:bCs/>
          <w:color w:val="auto"/>
          <w:kern w:val="0"/>
          <w:sz w:val="32"/>
          <w:szCs w:val="32"/>
          <w:u w:val="single"/>
        </w:rPr>
        <w:t>://</w:t>
      </w:r>
      <w:r>
        <w:rPr>
          <w:rFonts w:hint="eastAsia" w:ascii="方正仿宋简体" w:hAnsi="方正仿宋简体" w:eastAsia="方正仿宋简体" w:cs="方正仿宋简体"/>
          <w:b w:val="0"/>
          <w:bCs/>
          <w:color w:val="auto"/>
          <w:kern w:val="0"/>
          <w:sz w:val="32"/>
          <w:szCs w:val="32"/>
          <w:u w:val="single"/>
          <w:lang w:val="en-US" w:eastAsia="zh-CN"/>
        </w:rPr>
        <w:t>ggzy.xjyl.gov.cn</w:t>
      </w:r>
      <w:r>
        <w:rPr>
          <w:rStyle w:val="7"/>
          <w:rFonts w:hint="eastAsia" w:ascii="方正仿宋简体" w:hAnsi="方正仿宋简体" w:eastAsia="方正仿宋简体" w:cs="方正仿宋简体"/>
          <w:b w:val="0"/>
          <w:bCs/>
          <w:color w:val="auto"/>
          <w:kern w:val="0"/>
          <w:sz w:val="32"/>
          <w:szCs w:val="32"/>
        </w:rPr>
        <w:fldChar w:fldCharType="end"/>
      </w:r>
      <w:r>
        <w:rPr>
          <w:rStyle w:val="7"/>
          <w:rFonts w:hint="eastAsia" w:ascii="方正仿宋简体" w:hAnsi="方正仿宋简体" w:eastAsia="方正仿宋简体" w:cs="方正仿宋简体"/>
          <w:b w:val="0"/>
          <w:bCs/>
          <w:color w:val="auto"/>
          <w:kern w:val="0"/>
          <w:sz w:val="32"/>
          <w:szCs w:val="32"/>
        </w:rPr>
        <w:t>)</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进行，以电子平台竞价为准。</w:t>
      </w:r>
    </w:p>
    <w:p w14:paraId="0FFE5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2.竞价起始价、增价幅度按《</w:t>
      </w:r>
      <w:r>
        <w:rPr>
          <w:rFonts w:hint="eastAsia" w:ascii="方正仿宋简体" w:hAnsi="方正仿宋简体" w:eastAsia="方正仿宋简体" w:cs="方正仿宋简体"/>
          <w:color w:val="auto"/>
          <w:sz w:val="32"/>
          <w:szCs w:val="32"/>
          <w:lang w:val="en-US" w:eastAsia="zh-CN"/>
        </w:rPr>
        <w:t>特克斯</w:t>
      </w:r>
      <w:r>
        <w:rPr>
          <w:rFonts w:hint="eastAsia" w:ascii="方正仿宋简体" w:hAnsi="方正仿宋简体" w:eastAsia="方正仿宋简体" w:cs="方正仿宋简体"/>
          <w:color w:val="auto"/>
          <w:sz w:val="32"/>
          <w:szCs w:val="32"/>
        </w:rPr>
        <w:t>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auto"/>
          <w:sz w:val="32"/>
          <w:szCs w:val="32"/>
          <w:lang w:eastAsia="zh-CN"/>
        </w:rPr>
        <w:t>，</w:t>
      </w:r>
      <w:r>
        <w:rPr>
          <w:rStyle w:val="7"/>
          <w:rFonts w:hint="eastAsia" w:ascii="方正仿宋简体" w:hAnsi="方正仿宋简体" w:eastAsia="方正仿宋简体" w:cs="方正仿宋简体"/>
          <w:color w:val="auto"/>
          <w:kern w:val="0"/>
          <w:sz w:val="32"/>
          <w:szCs w:val="32"/>
          <w:lang w:val="en-US" w:eastAsia="zh-CN"/>
        </w:rPr>
        <w:t>加价幅度为可变步长，按照竞价金额进行调整）</w:t>
      </w:r>
      <w:r>
        <w:rPr>
          <w:rFonts w:hint="eastAsia" w:ascii="方正仿宋简体" w:hAnsi="方正仿宋简体" w:eastAsia="方正仿宋简体" w:cs="方正仿宋简体"/>
          <w:color w:val="auto"/>
          <w:sz w:val="32"/>
          <w:szCs w:val="32"/>
        </w:rPr>
        <w:t>），报价一经确认不得撤回。</w:t>
      </w:r>
    </w:p>
    <w:p w14:paraId="652123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w:t>
      </w:r>
      <w:r>
        <w:rPr>
          <w:rStyle w:val="7"/>
          <w:rFonts w:hint="eastAsia" w:ascii="方正仿宋简体" w:hAnsi="方正仿宋简体" w:eastAsia="方正仿宋简体" w:cs="方正仿宋简体"/>
          <w:color w:val="auto"/>
          <w:kern w:val="0"/>
          <w:sz w:val="32"/>
          <w:szCs w:val="32"/>
          <w:lang w:val="en-US" w:eastAsia="zh-CN"/>
        </w:rPr>
        <w:t>参与限时竞价的，则在网上限时竞价询问期</w:t>
      </w:r>
      <w:r>
        <w:rPr>
          <w:rStyle w:val="7"/>
          <w:rFonts w:hint="eastAsia" w:ascii="方正仿宋简体" w:hAnsi="方正仿宋简体" w:eastAsia="方正仿宋简体" w:cs="方正仿宋简体"/>
          <w:color w:val="auto"/>
          <w:kern w:val="0"/>
          <w:sz w:val="32"/>
          <w:szCs w:val="32"/>
          <w:lang w:val="en-US" w:eastAsia="zh-CN"/>
        </w:rPr>
        <w:t>（10分钟）</w:t>
      </w:r>
      <w:r>
        <w:rPr>
          <w:rStyle w:val="7"/>
          <w:rFonts w:hint="eastAsia" w:ascii="方正仿宋简体" w:hAnsi="方正仿宋简体" w:eastAsia="方正仿宋简体" w:cs="方正仿宋简体"/>
          <w:color w:val="auto"/>
          <w:kern w:val="0"/>
          <w:sz w:val="32"/>
          <w:szCs w:val="32"/>
          <w:lang w:val="en-US" w:eastAsia="zh-CN"/>
        </w:rPr>
        <w:t>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auto"/>
          <w:sz w:val="32"/>
          <w:szCs w:val="32"/>
        </w:rPr>
        <w:t>，直至无人再报价为止（即“限时竞价”规则）。</w:t>
      </w:r>
    </w:p>
    <w:p w14:paraId="6147B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4.挂牌截止时，最高有效报价者为竞得人。</w:t>
      </w:r>
    </w:p>
    <w:p w14:paraId="0CACD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五、成交确认与合同签订</w:t>
      </w:r>
    </w:p>
    <w:p w14:paraId="66779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1.挂牌结束后，交易中心将出具《挂牌成交确认书》，</w:t>
      </w:r>
      <w:r>
        <w:rPr>
          <w:rFonts w:hint="eastAsia" w:ascii="方正仿宋简体" w:hAnsi="方正仿宋简体" w:eastAsia="方正仿宋简体" w:cs="方正仿宋简体"/>
          <w:color w:val="auto"/>
          <w:sz w:val="32"/>
          <w:szCs w:val="32"/>
          <w:lang w:val="en-US" w:eastAsia="zh-CN"/>
        </w:rPr>
        <w:t>然后进行10天</w:t>
      </w:r>
      <w:r>
        <w:rPr>
          <w:rFonts w:hint="eastAsia" w:ascii="方正仿宋简体" w:hAnsi="方正仿宋简体" w:eastAsia="方正仿宋简体" w:cs="方正仿宋简体"/>
          <w:color w:val="auto"/>
          <w:sz w:val="32"/>
          <w:szCs w:val="32"/>
        </w:rPr>
        <w:t>公示</w:t>
      </w:r>
      <w:r>
        <w:rPr>
          <w:rFonts w:hint="eastAsia" w:ascii="方正仿宋简体" w:hAnsi="方正仿宋简体" w:eastAsia="方正仿宋简体" w:cs="方正仿宋简体"/>
          <w:color w:val="auto"/>
          <w:sz w:val="32"/>
          <w:szCs w:val="32"/>
          <w:lang w:eastAsia="zh-CN"/>
        </w:rPr>
        <w:t>。</w:t>
      </w:r>
    </w:p>
    <w:p w14:paraId="643BD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2.竞得人需在</w:t>
      </w:r>
      <w:r>
        <w:rPr>
          <w:rFonts w:hint="eastAsia" w:ascii="方正仿宋简体" w:hAnsi="方正仿宋简体" w:eastAsia="方正仿宋简体" w:cs="方正仿宋简体"/>
          <w:color w:val="auto"/>
          <w:sz w:val="32"/>
          <w:szCs w:val="32"/>
          <w:lang w:val="en-US" w:eastAsia="zh-CN"/>
        </w:rPr>
        <w:t>取得</w:t>
      </w:r>
      <w:r>
        <w:rPr>
          <w:rFonts w:hint="eastAsia" w:ascii="方正仿宋简体" w:hAnsi="方正仿宋简体" w:eastAsia="方正仿宋简体" w:cs="方正仿宋简体"/>
          <w:color w:val="auto"/>
          <w:sz w:val="32"/>
          <w:szCs w:val="32"/>
        </w:rPr>
        <w:t>《挂牌成交确认书》</w:t>
      </w:r>
      <w:r>
        <w:rPr>
          <w:rFonts w:hint="eastAsia" w:ascii="方正仿宋简体" w:hAnsi="方正仿宋简体" w:eastAsia="方正仿宋简体" w:cs="方正仿宋简体"/>
          <w:color w:val="auto"/>
          <w:sz w:val="32"/>
          <w:szCs w:val="32"/>
          <w:lang w:val="en-US" w:eastAsia="zh-CN"/>
        </w:rPr>
        <w:t>且公示期无异议后，</w:t>
      </w:r>
      <w:r>
        <w:rPr>
          <w:rFonts w:hint="eastAsia" w:ascii="方正仿宋简体" w:hAnsi="方正仿宋简体" w:eastAsia="方正仿宋简体" w:cs="方正仿宋简体"/>
          <w:color w:val="auto"/>
          <w:sz w:val="32"/>
          <w:szCs w:val="32"/>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如不可抗力的自然因素除外</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，出让方有权重新出让该地块。</w:t>
      </w:r>
    </w:p>
    <w:p w14:paraId="61E48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3.竞得人如需委托他人签订合同，需出具经公证的授权委托书及受托人身份证明，否则不得代签。</w:t>
      </w:r>
    </w:p>
    <w:p w14:paraId="62A8C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六、价款与税费缴纳</w:t>
      </w:r>
    </w:p>
    <w:p w14:paraId="4CA07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1.成交价款缴纳</w:t>
      </w:r>
      <w:r>
        <w:rPr>
          <w:rFonts w:hint="eastAsia" w:ascii="方正仿宋简体" w:hAnsi="方正仿宋简体" w:eastAsia="方正仿宋简体" w:cs="方正仿宋简体"/>
          <w:color w:val="auto"/>
          <w:sz w:val="32"/>
          <w:szCs w:val="32"/>
          <w:lang w:val="en-US" w:eastAsia="zh-CN"/>
        </w:rPr>
        <w:t>应当严格按照</w:t>
      </w:r>
      <w:r>
        <w:rPr>
          <w:rFonts w:hint="eastAsia" w:ascii="方正仿宋简体" w:hAnsi="方正仿宋简体" w:eastAsia="方正仿宋简体" w:cs="方正仿宋简体"/>
          <w:color w:val="auto"/>
          <w:sz w:val="32"/>
          <w:szCs w:val="32"/>
        </w:rPr>
        <w:t>《出让合同》约定执行。</w:t>
      </w:r>
    </w:p>
    <w:p w14:paraId="34244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2.竞得人需按国家及地方相关规定，自行缴纳契税、印花税、耕地占用税等相关税费，税费缴纳完毕后方可办理不动产权登记。</w:t>
      </w:r>
    </w:p>
    <w:p w14:paraId="15FDB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七、开发建设要求</w:t>
      </w:r>
    </w:p>
    <w:p w14:paraId="44B73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1.竞得人需严格按照《出让合同》约定及规划条件进行开发建设，容积率、建筑密度、绿地率、建筑限高、用途等规划指标不得擅自变更，确需变更的，需按规定报相关部门批准。</w:t>
      </w:r>
    </w:p>
    <w:p w14:paraId="61A4922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highlight w:val="none"/>
          <w:lang w:val="en-US" w:eastAsia="zh-CN"/>
        </w:rPr>
        <w:t>动工、竣工期限按《出让合同》约定执行，</w:t>
      </w:r>
      <w:r>
        <w:rPr>
          <w:rFonts w:hint="eastAsia" w:ascii="方正仿宋简体" w:hAnsi="方正仿宋简体" w:eastAsia="方正仿宋简体" w:cs="方正仿宋简体"/>
          <w:color w:val="auto"/>
          <w:sz w:val="32"/>
          <w:szCs w:val="32"/>
        </w:rPr>
        <w:t>竞</w:t>
      </w:r>
      <w:r>
        <w:rPr>
          <w:rFonts w:hint="eastAsia" w:ascii="方正仿宋简体" w:hAnsi="方正仿宋简体" w:eastAsia="方正仿宋简体" w:cs="方正仿宋简体"/>
          <w:color w:val="auto"/>
          <w:sz w:val="32"/>
          <w:szCs w:val="32"/>
          <w:lang w:val="en-US" w:eastAsia="zh-CN"/>
        </w:rPr>
        <w:t>得人需在动工期限内开工建设，在竣工期限内完成项目建设并申请竣工验收，逾期将按合同约定收取违约金，情节严重的，出让方有权收回土地使用权。</w:t>
      </w:r>
    </w:p>
    <w:p w14:paraId="56F14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3.地块开发建设需遵守国家环保、安全、消防等相关规定，落实生态保护、耕地保护等要求，不得从事违法违规建设活动。</w:t>
      </w:r>
    </w:p>
    <w:p w14:paraId="3BFBE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八、违约责任与争议解决</w:t>
      </w:r>
    </w:p>
    <w:p w14:paraId="58BC29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1.竞买人存在提供虚假材料、恶意串通、违规竞价等违法违规行为的，取消竞买资格或成交结果，竞买保证金不予退还；造成损失的，需承担相应赔偿责任。</w:t>
      </w:r>
    </w:p>
    <w:p w14:paraId="21310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2.竞得人未按规定签订合同、缴纳价款或擅自改变土地用途、违反规划指标开发建设的，出让方有权解除合同、收回土地，已缴款项不予退还，并追究其违约责任。</w:t>
      </w:r>
    </w:p>
    <w:p w14:paraId="73851E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九、其他事项</w:t>
      </w:r>
    </w:p>
    <w:p w14:paraId="568C2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1.本次挂牌出让的所有时间节点均以交易中心电子平台或现场公示的时间为准，因不可抗力、系统故障等特殊情况需调整时间的，将提前发布补充公告。</w:t>
      </w:r>
    </w:p>
    <w:p w14:paraId="6B4BA8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2.出让</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（含公告、须知、答疑、补充</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等）互为补充，具有同等法律效力，若存在不一致之处，以发布时间在后的文件为准。</w:t>
      </w:r>
    </w:p>
    <w:p w14:paraId="4CDE9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3.竞买人应妥善保管电子竞价账号及密码，因账号泄露、密码丢失导致的竞价损失，由竞买人自行承担。</w:t>
      </w:r>
    </w:p>
    <w:p w14:paraId="6387B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4.本须知由</w:t>
      </w:r>
      <w:r>
        <w:rPr>
          <w:rFonts w:hint="eastAsia" w:ascii="方正仿宋简体" w:hAnsi="方正仿宋简体" w:eastAsia="方正仿宋简体" w:cs="方正仿宋简体"/>
          <w:color w:val="auto"/>
          <w:sz w:val="32"/>
          <w:szCs w:val="32"/>
          <w:lang w:val="en-US" w:eastAsia="zh-CN"/>
        </w:rPr>
        <w:t>特克斯县</w:t>
      </w:r>
      <w:r>
        <w:rPr>
          <w:rFonts w:hint="eastAsia" w:ascii="方正仿宋简体" w:hAnsi="方正仿宋简体" w:eastAsia="方正仿宋简体" w:cs="方正仿宋简体"/>
          <w:color w:val="auto"/>
          <w:sz w:val="32"/>
          <w:szCs w:val="32"/>
        </w:rPr>
        <w:t>自然资源局</w:t>
      </w:r>
      <w:r>
        <w:rPr>
          <w:rFonts w:hint="eastAsia" w:ascii="方正仿宋简体" w:hAnsi="方正仿宋简体" w:eastAsia="方正仿宋简体" w:cs="方正仿宋简体"/>
          <w:color w:val="auto"/>
          <w:sz w:val="32"/>
          <w:szCs w:val="32"/>
          <w:lang w:val="en-US" w:eastAsia="zh-CN"/>
        </w:rPr>
        <w:t>和伊犁州</w:t>
      </w:r>
      <w:r>
        <w:rPr>
          <w:rFonts w:hint="eastAsia" w:ascii="方正仿宋简体" w:hAnsi="方正仿宋简体" w:eastAsia="方正仿宋简体" w:cs="方正仿宋简体"/>
          <w:color w:val="auto"/>
          <w:sz w:val="32"/>
          <w:szCs w:val="32"/>
        </w:rPr>
        <w:t>公共资源交易</w:t>
      </w:r>
      <w:r>
        <w:rPr>
          <w:rFonts w:hint="eastAsia" w:ascii="方正仿宋简体" w:hAnsi="方正仿宋简体" w:eastAsia="方正仿宋简体" w:cs="方正仿宋简体"/>
          <w:color w:val="auto"/>
          <w:sz w:val="32"/>
          <w:szCs w:val="32"/>
          <w:lang w:val="en-US" w:eastAsia="zh-CN"/>
        </w:rPr>
        <w:t>中心</w:t>
      </w:r>
      <w:bookmarkStart w:id="0" w:name="_GoBack"/>
      <w:bookmarkEnd w:id="0"/>
      <w:r>
        <w:rPr>
          <w:rFonts w:hint="eastAsia" w:ascii="方正仿宋简体" w:hAnsi="方正仿宋简体" w:eastAsia="方正仿宋简体" w:cs="方正仿宋简体"/>
          <w:color w:val="auto"/>
          <w:sz w:val="32"/>
          <w:szCs w:val="32"/>
          <w:lang w:val="en-US" w:eastAsia="zh-CN"/>
        </w:rPr>
        <w:t>共同</w:t>
      </w:r>
      <w:r>
        <w:rPr>
          <w:rFonts w:hint="eastAsia" w:ascii="方正仿宋简体" w:hAnsi="方正仿宋简体" w:eastAsia="方正仿宋简体" w:cs="方正仿宋简体"/>
          <w:color w:val="auto"/>
          <w:sz w:val="32"/>
          <w:szCs w:val="32"/>
        </w:rPr>
        <w:t>解释。</w:t>
      </w:r>
    </w:p>
    <w:p w14:paraId="304FE0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p>
    <w:p w14:paraId="6A044F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rPr>
      </w:pPr>
      <w:r>
        <w:rPr>
          <w:rFonts w:hint="eastAsia" w:ascii="方正仿宋简体" w:hAnsi="方正仿宋简体" w:eastAsia="方正仿宋简体" w:cs="方正仿宋简体"/>
          <w:color w:val="auto"/>
          <w:sz w:val="32"/>
          <w:szCs w:val="32"/>
        </w:rPr>
        <w:t>联系单位：</w:t>
      </w:r>
      <w:r>
        <w:rPr>
          <w:rFonts w:hint="eastAsia" w:ascii="方正仿宋简体" w:hAnsi="方正仿宋简体" w:eastAsia="方正仿宋简体" w:cs="方正仿宋简体"/>
          <w:color w:val="auto"/>
          <w:sz w:val="32"/>
          <w:szCs w:val="32"/>
          <w:lang w:val="en-US" w:eastAsia="zh-CN"/>
        </w:rPr>
        <w:t>特克斯</w:t>
      </w:r>
      <w:r>
        <w:rPr>
          <w:rFonts w:hint="eastAsia" w:ascii="方正仿宋简体" w:hAnsi="方正仿宋简体" w:eastAsia="方正仿宋简体" w:cs="方正仿宋简体"/>
          <w:color w:val="auto"/>
          <w:sz w:val="32"/>
          <w:szCs w:val="32"/>
        </w:rPr>
        <w:t>县</w:t>
      </w:r>
      <w:r>
        <w:rPr>
          <w:rFonts w:hint="eastAsia" w:ascii="方正仿宋简体" w:hAnsi="方正仿宋简体" w:eastAsia="方正仿宋简体" w:cs="方正仿宋简体"/>
          <w:color w:val="auto"/>
          <w:sz w:val="32"/>
          <w:szCs w:val="32"/>
          <w:lang w:eastAsia="zh-CN"/>
        </w:rPr>
        <w:t>自然资源局</w:t>
      </w:r>
      <w:r>
        <w:rPr>
          <w:rFonts w:hint="eastAsia" w:ascii="方正仿宋简体" w:hAnsi="方正仿宋简体" w:eastAsia="方正仿宋简体" w:cs="方正仿宋简体"/>
          <w:color w:val="auto"/>
          <w:sz w:val="32"/>
          <w:szCs w:val="32"/>
          <w:lang w:val="en-US" w:eastAsia="zh-CN"/>
        </w:rPr>
        <w:t xml:space="preserve">    伊犁州公共资源交易中心</w:t>
      </w:r>
    </w:p>
    <w:p w14:paraId="496E2B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 系 人：</w:t>
      </w:r>
      <w:r>
        <w:rPr>
          <w:rFonts w:hint="eastAsia" w:ascii="方正仿宋简体" w:hAnsi="方正仿宋简体" w:eastAsia="方正仿宋简体" w:cs="方正仿宋简体"/>
          <w:color w:val="auto"/>
          <w:sz w:val="32"/>
          <w:szCs w:val="32"/>
          <w:lang w:val="en-US" w:eastAsia="zh-CN"/>
        </w:rPr>
        <w:t>汪</w:t>
      </w:r>
      <w:r>
        <w:rPr>
          <w:rFonts w:hint="eastAsia" w:ascii="方正仿宋简体" w:hAnsi="方正仿宋简体" w:eastAsia="方正仿宋简体" w:cs="方正仿宋简体"/>
          <w:color w:val="auto"/>
          <w:sz w:val="32"/>
          <w:szCs w:val="32"/>
        </w:rPr>
        <w:t xml:space="preserve">女士      </w:t>
      </w:r>
      <w:r>
        <w:rPr>
          <w:rFonts w:hint="eastAsia" w:ascii="方正仿宋简体" w:hAnsi="方正仿宋简体" w:eastAsia="方正仿宋简体" w:cs="方正仿宋简体"/>
          <w:color w:val="auto"/>
          <w:sz w:val="32"/>
          <w:szCs w:val="32"/>
          <w:lang w:val="en-US" w:eastAsia="zh-CN"/>
        </w:rPr>
        <w:t xml:space="preserve">               张娜</w:t>
      </w:r>
    </w:p>
    <w:p w14:paraId="19F8D4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联系电话：</w:t>
      </w:r>
      <w:r>
        <w:rPr>
          <w:rFonts w:hint="eastAsia" w:ascii="方正仿宋简体" w:hAnsi="方正仿宋简体" w:eastAsia="方正仿宋简体" w:cs="方正仿宋简体"/>
          <w:color w:val="auto"/>
          <w:sz w:val="32"/>
          <w:szCs w:val="32"/>
          <w:lang w:val="en-US" w:eastAsia="zh-CN"/>
        </w:rPr>
        <w:t>18197938922</w:t>
      </w:r>
      <w:r>
        <w:rPr>
          <w:rFonts w:hint="eastAsia" w:ascii="方正仿宋简体" w:hAnsi="方正仿宋简体" w:eastAsia="方正仿宋简体" w:cs="方正仿宋简体"/>
          <w:color w:val="auto"/>
          <w:sz w:val="32"/>
          <w:szCs w:val="32"/>
        </w:rPr>
        <w:t xml:space="preserve">  </w:t>
      </w:r>
      <w:r>
        <w:rPr>
          <w:rFonts w:hint="eastAsia" w:ascii="方正仿宋简体" w:hAnsi="方正仿宋简体" w:eastAsia="方正仿宋简体" w:cs="方正仿宋简体"/>
          <w:color w:val="auto"/>
          <w:sz w:val="32"/>
          <w:szCs w:val="32"/>
          <w:lang w:val="en-US" w:eastAsia="zh-CN"/>
        </w:rPr>
        <w:t xml:space="preserve">           0999-8999163</w:t>
      </w:r>
    </w:p>
    <w:p w14:paraId="0A265A0D">
      <w:pPr>
        <w:keepNext w:val="0"/>
        <w:keepLines w:val="0"/>
        <w:pageBreakBefore w:val="0"/>
        <w:widowControl w:val="0"/>
        <w:kinsoku/>
        <w:wordWrap/>
        <w:overflowPunct/>
        <w:topLinePunct w:val="0"/>
        <w:autoSpaceDE/>
        <w:autoSpaceDN/>
        <w:bidi w:val="0"/>
        <w:adjustRightInd/>
        <w:snapToGrid/>
        <w:spacing w:line="560" w:lineRule="exact"/>
        <w:textAlignment w:val="auto"/>
        <w:rPr>
          <w:rStyle w:val="7"/>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color w:val="auto"/>
          <w:sz w:val="32"/>
          <w:szCs w:val="32"/>
        </w:rPr>
        <w:t>交易平台网址：</w:t>
      </w:r>
      <w:r>
        <w:rPr>
          <w:rStyle w:val="7"/>
          <w:rFonts w:hint="eastAsia" w:ascii="方正仿宋简体" w:hAnsi="方正仿宋简体" w:eastAsia="方正仿宋简体" w:cs="方正仿宋简体"/>
          <w:b w:val="0"/>
          <w:bCs/>
          <w:color w:val="auto"/>
          <w:kern w:val="0"/>
          <w:sz w:val="32"/>
          <w:szCs w:val="32"/>
        </w:rPr>
        <w:fldChar w:fldCharType="begin"/>
      </w:r>
      <w:r>
        <w:rPr>
          <w:rStyle w:val="7"/>
          <w:rFonts w:hint="eastAsia" w:ascii="方正仿宋简体" w:hAnsi="方正仿宋简体" w:eastAsia="方正仿宋简体" w:cs="方正仿宋简体"/>
          <w:b w:val="0"/>
          <w:bCs/>
          <w:color w:val="auto"/>
          <w:kern w:val="0"/>
          <w:sz w:val="32"/>
          <w:szCs w:val="32"/>
        </w:rPr>
        <w:instrText xml:space="preserve"> HYPERLINK "https://ggzy.xjyi.gov.cn" </w:instrText>
      </w:r>
      <w:r>
        <w:rPr>
          <w:rStyle w:val="7"/>
          <w:rFonts w:hint="eastAsia" w:ascii="方正仿宋简体" w:hAnsi="方正仿宋简体" w:eastAsia="方正仿宋简体" w:cs="方正仿宋简体"/>
          <w:b w:val="0"/>
          <w:bCs/>
          <w:color w:val="auto"/>
          <w:kern w:val="0"/>
          <w:sz w:val="32"/>
          <w:szCs w:val="32"/>
        </w:rPr>
        <w:fldChar w:fldCharType="separate"/>
      </w:r>
      <w:r>
        <w:rPr>
          <w:rStyle w:val="6"/>
          <w:rFonts w:hint="eastAsia" w:ascii="方正仿宋简体" w:hAnsi="方正仿宋简体" w:eastAsia="方正仿宋简体" w:cs="方正仿宋简体"/>
          <w:b w:val="0"/>
          <w:bCs/>
          <w:color w:val="auto"/>
          <w:kern w:val="0"/>
          <w:sz w:val="32"/>
          <w:szCs w:val="32"/>
        </w:rPr>
        <w:t>http</w:t>
      </w:r>
      <w:r>
        <w:rPr>
          <w:rStyle w:val="6"/>
          <w:rFonts w:hint="eastAsia" w:ascii="方正仿宋简体" w:hAnsi="方正仿宋简体" w:eastAsia="方正仿宋简体" w:cs="方正仿宋简体"/>
          <w:b w:val="0"/>
          <w:bCs/>
          <w:color w:val="auto"/>
          <w:kern w:val="0"/>
          <w:sz w:val="32"/>
          <w:szCs w:val="32"/>
          <w:lang w:val="en-US" w:eastAsia="zh-CN"/>
        </w:rPr>
        <w:t>s</w:t>
      </w:r>
      <w:r>
        <w:rPr>
          <w:rStyle w:val="6"/>
          <w:rFonts w:hint="eastAsia" w:ascii="方正仿宋简体" w:hAnsi="方正仿宋简体" w:eastAsia="方正仿宋简体" w:cs="方正仿宋简体"/>
          <w:b w:val="0"/>
          <w:bCs/>
          <w:color w:val="auto"/>
          <w:kern w:val="0"/>
          <w:sz w:val="32"/>
          <w:szCs w:val="32"/>
        </w:rPr>
        <w:t>://</w:t>
      </w:r>
      <w:r>
        <w:rPr>
          <w:rStyle w:val="6"/>
          <w:rFonts w:hint="eastAsia" w:ascii="方正仿宋简体" w:hAnsi="方正仿宋简体" w:eastAsia="方正仿宋简体" w:cs="方正仿宋简体"/>
          <w:b w:val="0"/>
          <w:bCs/>
          <w:color w:val="auto"/>
          <w:kern w:val="0"/>
          <w:sz w:val="32"/>
          <w:szCs w:val="32"/>
          <w:lang w:val="en-US" w:eastAsia="zh-CN"/>
        </w:rPr>
        <w:t>ggzy.xjyl.gov.cn</w:t>
      </w:r>
      <w:r>
        <w:rPr>
          <w:rStyle w:val="7"/>
          <w:rFonts w:hint="eastAsia" w:ascii="方正仿宋简体" w:hAnsi="方正仿宋简体" w:eastAsia="方正仿宋简体" w:cs="方正仿宋简体"/>
          <w:b w:val="0"/>
          <w:bCs/>
          <w:color w:val="auto"/>
          <w:kern w:val="0"/>
          <w:sz w:val="32"/>
          <w:szCs w:val="32"/>
        </w:rPr>
        <w:fldChar w:fldCharType="end"/>
      </w:r>
    </w:p>
    <w:p w14:paraId="680AA7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地址：</w:t>
      </w:r>
      <w:r>
        <w:rPr>
          <w:rFonts w:hint="eastAsia" w:ascii="方正仿宋简体" w:hAnsi="方正仿宋简体" w:eastAsia="方正仿宋简体" w:cs="方正仿宋简体"/>
          <w:bCs/>
          <w:color w:val="auto"/>
          <w:kern w:val="0"/>
          <w:sz w:val="32"/>
          <w:szCs w:val="32"/>
          <w:lang w:bidi="ar"/>
        </w:rPr>
        <w:t>伊宁市边合区广东</w:t>
      </w:r>
      <w:r>
        <w:rPr>
          <w:rFonts w:hint="eastAsia" w:ascii="方正仿宋简体" w:hAnsi="方正仿宋简体" w:eastAsia="方正仿宋简体" w:cs="方正仿宋简体"/>
          <w:bCs/>
          <w:color w:val="auto"/>
          <w:kern w:val="0"/>
          <w:sz w:val="32"/>
          <w:szCs w:val="32"/>
          <w:lang w:val="en-US" w:eastAsia="zh-CN" w:bidi="ar"/>
        </w:rPr>
        <w:t>路</w:t>
      </w:r>
      <w:r>
        <w:rPr>
          <w:rFonts w:hint="eastAsia" w:ascii="方正仿宋简体" w:hAnsi="方正仿宋简体" w:eastAsia="方正仿宋简体" w:cs="方正仿宋简体"/>
          <w:bCs/>
          <w:color w:val="auto"/>
          <w:kern w:val="0"/>
          <w:sz w:val="32"/>
          <w:szCs w:val="32"/>
          <w:lang w:bidi="ar"/>
        </w:rPr>
        <w:t>52号四楼</w:t>
      </w:r>
    </w:p>
    <w:p w14:paraId="46C08A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 </w:t>
      </w:r>
    </w:p>
    <w:p w14:paraId="420A2B5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2026年9月4日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9116B"/>
    <w:rsid w:val="01D86994"/>
    <w:rsid w:val="02AF35D9"/>
    <w:rsid w:val="036E22AD"/>
    <w:rsid w:val="06B3536E"/>
    <w:rsid w:val="0DE8795A"/>
    <w:rsid w:val="0E683122"/>
    <w:rsid w:val="123F4AB4"/>
    <w:rsid w:val="12964FBB"/>
    <w:rsid w:val="12CF001D"/>
    <w:rsid w:val="15BC3736"/>
    <w:rsid w:val="16306774"/>
    <w:rsid w:val="16E9116B"/>
    <w:rsid w:val="1A9234A5"/>
    <w:rsid w:val="1BA72227"/>
    <w:rsid w:val="1C1E70AE"/>
    <w:rsid w:val="1D8513D1"/>
    <w:rsid w:val="1D907689"/>
    <w:rsid w:val="20ED5586"/>
    <w:rsid w:val="22A5210D"/>
    <w:rsid w:val="242520DD"/>
    <w:rsid w:val="24F828F7"/>
    <w:rsid w:val="258F007C"/>
    <w:rsid w:val="2887704D"/>
    <w:rsid w:val="28FE3988"/>
    <w:rsid w:val="2C0B0DBF"/>
    <w:rsid w:val="2C995635"/>
    <w:rsid w:val="2E6F7274"/>
    <w:rsid w:val="303E7002"/>
    <w:rsid w:val="3438143E"/>
    <w:rsid w:val="347B2C27"/>
    <w:rsid w:val="35520390"/>
    <w:rsid w:val="35533BE7"/>
    <w:rsid w:val="366B16B6"/>
    <w:rsid w:val="3B12055A"/>
    <w:rsid w:val="401E32E5"/>
    <w:rsid w:val="40C57518"/>
    <w:rsid w:val="413B5781"/>
    <w:rsid w:val="413F7118"/>
    <w:rsid w:val="42512946"/>
    <w:rsid w:val="43FB3DBF"/>
    <w:rsid w:val="46D56269"/>
    <w:rsid w:val="4C1A4723"/>
    <w:rsid w:val="4CCE2E6D"/>
    <w:rsid w:val="4DC50A07"/>
    <w:rsid w:val="4E023609"/>
    <w:rsid w:val="4E992277"/>
    <w:rsid w:val="4ED2625F"/>
    <w:rsid w:val="5197617F"/>
    <w:rsid w:val="52F83A10"/>
    <w:rsid w:val="55E3217E"/>
    <w:rsid w:val="58410767"/>
    <w:rsid w:val="5B5D6641"/>
    <w:rsid w:val="5C563555"/>
    <w:rsid w:val="5DDB01B6"/>
    <w:rsid w:val="60C37E4F"/>
    <w:rsid w:val="65A417D5"/>
    <w:rsid w:val="668018D0"/>
    <w:rsid w:val="692B2E87"/>
    <w:rsid w:val="698450AA"/>
    <w:rsid w:val="6A6B74A1"/>
    <w:rsid w:val="6BA0234D"/>
    <w:rsid w:val="714025F2"/>
    <w:rsid w:val="744765D2"/>
    <w:rsid w:val="76E8442E"/>
    <w:rsid w:val="78397B5B"/>
    <w:rsid w:val="78D90A96"/>
    <w:rsid w:val="7B2B6A6E"/>
    <w:rsid w:val="7D125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character" w:styleId="6">
    <w:name w:val="Hyperlink"/>
    <w:basedOn w:val="5"/>
    <w:uiPriority w:val="0"/>
    <w:rPr>
      <w:color w:val="0000FF"/>
      <w:u w:val="single"/>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2213</Words>
  <Characters>2377</Characters>
  <Lines>0</Lines>
  <Paragraphs>0</Paragraphs>
  <TotalTime>0</TotalTime>
  <ScaleCrop>false</ScaleCrop>
  <LinksUpToDate>false</LinksUpToDate>
  <CharactersWithSpaces>2419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2025-11-20T08:15:00Z</dcterms:created>
  <dc:creator>Q</dc:creator>
  <cp:lastModifiedBy>璀璨</cp:lastModifiedBy>
  <cp:lastPrinted>2026-09-04T03:29:24Z</cp:lastPrinted>
  <dcterms:modified xsi:type="dcterms:W3CDTF">2026-09-04T03:54:41Z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761A57B640B24B878B5964D7A13E3A40_13</vt:lpwstr>
  </property>
  <property fmtid="{D5CDD505-2E9C-101B-9397-08002B2CF9AE}" pid="4" name="KSOTemplateDocerSaveRecord">
    <vt:lpwstr>eyJoZGlkIjoiYzBhOTQ1M2E4ZjZkM2NhMWE0MzIwZGVkZWY0OTZiZTciLCJ1c2VySWQiOiIyODc1MTg4NjcifQ==</vt:lpwstr>
  </property>
</Properties>
</file>