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  <w:noWrap w:val="0"/>
            <w:vAlign w:val="top"/>
          </w:tcPr>
          <w:p>
            <w:pPr>
              <w:pStyle w:val="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>ICS</w:t>
            </w:r>
          </w:p>
        </w:tc>
        <w:tc>
          <w:tcPr>
            <w:tcW w:w="8855" w:type="dxa"/>
            <w:noWrap w:val="0"/>
            <w:vAlign w:val="top"/>
          </w:tcPr>
          <w:p>
            <w:pPr>
              <w:pStyle w:val="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both"/>
              <w:rPr>
                <w:rFonts w:ascii="黑体" w:hAnsi="黑体" w:eastAsia="黑体" w:cs="黑体"/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  <w:noWrap w:val="0"/>
            <w:vAlign w:val="top"/>
          </w:tcPr>
          <w:p>
            <w:pPr>
              <w:pStyle w:val="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 xml:space="preserve">CCS </w:t>
            </w:r>
          </w:p>
        </w:tc>
        <w:tc>
          <w:tcPr>
            <w:tcW w:w="8855" w:type="dxa"/>
            <w:noWrap w:val="0"/>
            <w:vAlign w:val="top"/>
          </w:tcPr>
          <w:p>
            <w:pPr>
              <w:pStyle w:val="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both"/>
              <w:rPr>
                <w:rFonts w:ascii="黑体" w:hAnsi="黑体" w:eastAsia="黑体" w:cs="黑体"/>
                <w:bCs/>
                <w:color w:val="000000"/>
                <w:sz w:val="21"/>
                <w:szCs w:val="21"/>
              </w:rPr>
            </w:pPr>
          </w:p>
        </w:tc>
      </w:tr>
    </w:tbl>
    <w:tbl>
      <w:tblPr>
        <w:tblStyle w:val="4"/>
        <w:tblpPr w:leftFromText="180" w:rightFromText="180" w:vertAnchor="text" w:horzAnchor="margin" w:tblpX="2683" w:tblpY="57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  <w:noWrap w:val="0"/>
            <w:vAlign w:val="top"/>
          </w:tcPr>
          <w:p>
            <w:pPr>
              <w:pStyle w:val="7"/>
              <w:framePr w:w="0" w:hRule="auto" w:wrap="auto" w:vAnchor="margin" w:hAnchor="text" w:xAlign="left" w:yAlign="inline"/>
              <w:rPr>
                <w:rFonts w:ascii="宋体" w:hAnsi="宋体"/>
                <w:sz w:val="28"/>
                <w:szCs w:val="28"/>
              </w:rPr>
            </w:pPr>
            <w:bookmarkStart w:id="0" w:name="_Hlk26473981"/>
            <w:r>
              <w:drawing>
                <wp:inline distT="0" distB="0" distL="114300" distR="114300">
                  <wp:extent cx="796290" cy="397510"/>
                  <wp:effectExtent l="0" t="0" r="3810" b="8890"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  <w:szCs w:val="21"/>
              </w:rPr>
              <w:t xml:space="preserve"> </w:t>
            </w:r>
            <w:r>
              <w:t>6540</w:t>
            </w:r>
          </w:p>
        </w:tc>
      </w:tr>
      <w:bookmarkEnd w:id="0"/>
    </w:tbl>
    <w:p>
      <w:pPr>
        <w:pStyle w:val="8"/>
        <w:rPr>
          <w:lang w:val="fr-FR"/>
        </w:rPr>
      </w:pPr>
    </w:p>
    <w:p>
      <w:pPr>
        <w:pStyle w:val="8"/>
        <w:jc w:val="center"/>
        <w:rPr>
          <w:rFonts w:hint="default" w:hAnsi="黑体"/>
          <w:color w:val="000000"/>
          <w:lang w:val="en-US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          </w:t>
      </w:r>
      <w:r>
        <w:rPr>
          <w:color w:val="000000"/>
          <w:lang w:val="fr-FR"/>
        </w:rPr>
        <w:t>DB</w:t>
      </w:r>
      <w:r>
        <w:rPr>
          <w:rFonts w:hint="eastAsia"/>
          <w:color w:val="000000"/>
          <w:lang w:val="en-US" w:eastAsia="zh-CN"/>
        </w:rPr>
        <w:t>6540/T</w:t>
      </w:r>
      <w:r>
        <w:rPr>
          <w:color w:val="000000"/>
          <w:sz w:val="15"/>
          <w:szCs w:val="15"/>
          <w:lang w:val="fr-FR"/>
        </w:rPr>
        <w:t xml:space="preserve"> </w:t>
      </w:r>
      <w:r>
        <w:rPr>
          <w:rFonts w:hint="default"/>
          <w:color w:val="000000"/>
          <w:sz w:val="15"/>
          <w:szCs w:val="15"/>
        </w:rPr>
        <w:t>XXX</w:t>
      </w:r>
      <w:r>
        <w:rPr>
          <w:color w:val="000000"/>
        </w:rPr>
        <w:t>-</w:t>
      </w:r>
      <w:r>
        <w:rPr>
          <w:rFonts w:hint="eastAsia" w:hAnsi="黑体"/>
          <w:color w:val="000000"/>
          <w:lang w:val="en-US" w:eastAsia="zh-CN"/>
        </w:rPr>
        <w:t>2023</w:t>
      </w:r>
    </w:p>
    <w:p>
      <w:pPr>
        <w:spacing w:line="240" w:lineRule="auto"/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2672715</wp:posOffset>
                </wp:positionV>
                <wp:extent cx="5956935" cy="5080"/>
                <wp:effectExtent l="0" t="4445" r="12065" b="952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50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9pt;margin-top:210.45pt;height:0.4pt;width:469.05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y+N7HdgAAAAMAQAADwAAAAAAAAABACAAAAAiAAAAZHJzL2Rv&#10;d25yZXYueG1sUEsBAhQAFAAAAAgAh07iQAZ7DZEBAgAA7wMAAA4AAAAAAAAAAQAgAAAAJwEAAGRy&#10;cy9lMm9Eb2MueG1sUEsFBgAAAAAGAAYAWQEAAJo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10"/>
        <w:framePr w:w="9639" w:h="6976" w:hRule="exact" w:hSpace="0" w:vSpace="0" w:vAnchor="text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>
      <w:pPr>
        <w:keepNext w:val="0"/>
        <w:keepLines w:val="0"/>
        <w:framePr w:w="9639" w:h="6606" w:hRule="exact" w:wrap="around" w:vAnchor="page" w:hAnchor="page" w:x="1321" w:y="6489" w:anchorLock="1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hint="eastAsia" w:ascii="宋体" w:hAnsi="宋体"/>
          <w:b/>
          <w:bCs/>
          <w:spacing w:val="-10"/>
          <w:sz w:val="52"/>
          <w:szCs w:val="52"/>
        </w:rPr>
      </w:pPr>
      <w:r>
        <w:rPr>
          <w:rFonts w:hint="eastAsia" w:ascii="宋体" w:hAnsi="宋体"/>
          <w:b/>
          <w:bCs/>
          <w:spacing w:val="-10"/>
          <w:sz w:val="52"/>
          <w:szCs w:val="52"/>
        </w:rPr>
        <w:t>罗布麻种</w:t>
      </w:r>
      <w:r>
        <w:rPr>
          <w:rFonts w:hint="eastAsia" w:ascii="宋体" w:hAnsi="宋体"/>
          <w:b/>
          <w:bCs/>
          <w:spacing w:val="-10"/>
          <w:sz w:val="52"/>
          <w:szCs w:val="52"/>
          <w:lang w:val="en-US" w:eastAsia="zh-CN"/>
        </w:rPr>
        <w:t>质</w:t>
      </w:r>
      <w:r>
        <w:rPr>
          <w:rFonts w:hint="eastAsia" w:ascii="宋体" w:hAnsi="宋体"/>
          <w:b/>
          <w:bCs/>
          <w:spacing w:val="-10"/>
          <w:sz w:val="52"/>
          <w:szCs w:val="52"/>
        </w:rPr>
        <w:t>资源繁殖与保存技术规程</w:t>
      </w:r>
    </w:p>
    <w:p>
      <w:pPr>
        <w:framePr w:w="9639" w:h="6606" w:hRule="exact" w:wrap="around" w:vAnchor="page" w:hAnchor="page" w:x="1321" w:y="6489" w:anchorLock="1"/>
        <w:spacing w:line="760" w:lineRule="exact"/>
        <w:ind w:left="-1418"/>
      </w:pPr>
    </w:p>
    <w:p>
      <w:pPr>
        <w:pStyle w:val="12"/>
        <w:framePr w:w="9639" w:h="6606" w:hRule="exact" w:wrap="around" w:vAnchor="page" w:hAnchor="page" w:x="1321" w:y="6489" w:anchorLock="1"/>
        <w:textAlignment w:val="bottom"/>
        <w:rPr>
          <w:rFonts w:hint="eastAsia" w:eastAsia="黑体"/>
          <w:szCs w:val="28"/>
          <w:lang w:eastAsia="zh-CN"/>
        </w:rPr>
      </w:pPr>
      <w:r>
        <w:rPr>
          <w:rFonts w:hint="eastAsia" w:eastAsia="黑体"/>
          <w:szCs w:val="28"/>
          <w:lang w:eastAsia="zh-CN"/>
        </w:rPr>
        <w:t>（征求意见稿）</w:t>
      </w:r>
    </w:p>
    <w:p>
      <w:pPr>
        <w:pStyle w:val="12"/>
        <w:framePr w:w="9639" w:h="6606" w:hRule="exact" w:wrap="around" w:vAnchor="page" w:hAnchor="page" w:x="1321" w:y="6489" w:anchorLock="1"/>
        <w:spacing w:before="180" w:line="240" w:lineRule="atLeast"/>
        <w:textAlignment w:val="bottom"/>
        <w:rPr>
          <w:sz w:val="21"/>
          <w:szCs w:val="28"/>
        </w:rPr>
      </w:pPr>
    </w:p>
    <w:p>
      <w:pPr>
        <w:pStyle w:val="12"/>
        <w:framePr w:w="9639" w:h="6606" w:hRule="exact" w:wrap="around" w:vAnchor="page" w:hAnchor="page" w:x="1321" w:y="6489" w:anchorLock="1"/>
        <w:spacing w:before="720" w:beforeLines="300" w:after="72" w:afterLines="30" w:line="240" w:lineRule="auto"/>
        <w:textAlignment w:val="bottom"/>
        <w:rPr>
          <w:b/>
          <w:sz w:val="21"/>
          <w:szCs w:val="28"/>
        </w:rPr>
      </w:pPr>
    </w:p>
    <w:p>
      <w:pPr>
        <w:pStyle w:val="13"/>
        <w:framePr w:y="14176"/>
        <w:rPr>
          <w:color w:val="000000"/>
        </w:rPr>
      </w:pPr>
      <w:r>
        <w:rPr>
          <w:rFonts w:hint="eastAsia" w:ascii="黑体"/>
          <w:color w:val="000000"/>
        </w:rPr>
        <w:t>202</w:t>
      </w:r>
      <w:r>
        <w:rPr>
          <w:rFonts w:hint="eastAsia" w:ascii="黑体"/>
          <w:color w:val="000000"/>
          <w:lang w:val="en-US" w:eastAsia="zh-CN"/>
        </w:rPr>
        <w:t>3</w:t>
      </w:r>
      <w:r>
        <w:rPr>
          <w:rFonts w:ascii="黑体"/>
          <w:color w:val="000000"/>
        </w:rPr>
        <w:t>-</w:t>
      </w:r>
      <w:r>
        <w:rPr>
          <w:rFonts w:hint="default" w:ascii="黑体"/>
          <w:color w:val="000000"/>
        </w:rPr>
        <w:t>XX</w:t>
      </w:r>
      <w:r>
        <w:rPr>
          <w:rFonts w:ascii="黑体"/>
          <w:color w:val="000000"/>
        </w:rPr>
        <w:t>-</w:t>
      </w:r>
      <w:r>
        <w:rPr>
          <w:rFonts w:hint="default" w:ascii="黑体"/>
          <w:color w:val="000000"/>
        </w:rPr>
        <w:t>XX</w:t>
      </w:r>
      <w:r>
        <w:rPr>
          <w:rFonts w:hint="eastAsia"/>
          <w:color w:val="000000"/>
        </w:rPr>
        <w:t>发布</w:t>
      </w:r>
    </w:p>
    <w:p>
      <w:pPr>
        <w:pStyle w:val="15"/>
        <w:framePr w:y="14176"/>
        <w:rPr>
          <w:color w:val="FF0000"/>
        </w:rPr>
      </w:pPr>
      <w:r>
        <w:rPr>
          <w:rFonts w:hint="eastAsia" w:ascii="黑体"/>
          <w:color w:val="000000"/>
        </w:rPr>
        <w:t>202</w:t>
      </w:r>
      <w:r>
        <w:rPr>
          <w:rFonts w:hint="eastAsia" w:ascii="黑体"/>
          <w:color w:val="000000"/>
          <w:lang w:val="en-US" w:eastAsia="zh-CN"/>
        </w:rPr>
        <w:t>3</w:t>
      </w:r>
      <w:r>
        <w:rPr>
          <w:rFonts w:ascii="黑体"/>
          <w:color w:val="000000"/>
        </w:rPr>
        <w:t>-</w:t>
      </w:r>
      <w:r>
        <w:rPr>
          <w:rFonts w:hint="default" w:ascii="黑体"/>
          <w:color w:val="000000"/>
        </w:rPr>
        <w:t>XX</w:t>
      </w:r>
      <w:r>
        <w:rPr>
          <w:rFonts w:ascii="黑体"/>
          <w:color w:val="000000"/>
        </w:rPr>
        <w:t>-</w:t>
      </w:r>
      <w:r>
        <w:rPr>
          <w:rFonts w:hint="default" w:ascii="黑体"/>
          <w:color w:val="000000"/>
        </w:rPr>
        <w:t>XX</w:t>
      </w:r>
      <w:r>
        <w:rPr>
          <w:rFonts w:hint="eastAsia"/>
          <w:color w:val="000000"/>
        </w:rPr>
        <w:t>实施</w:t>
      </w:r>
    </w:p>
    <w:p>
      <w:pPr>
        <w:pStyle w:val="17"/>
        <w:framePr w:w="8070" w:h="405" w:hRule="exact" w:vAnchor="page" w:hAnchor="page" w:x="2115" w:y="14964"/>
        <w:tabs>
          <w:tab w:val="left" w:pos="6582"/>
        </w:tabs>
        <w:jc w:val="both"/>
        <w:rPr>
          <w:sz w:val="28"/>
          <w:szCs w:val="28"/>
        </w:rPr>
      </w:pPr>
      <w:r>
        <w:rPr>
          <w:sz w:val="28"/>
          <w:szCs w:val="28"/>
          <w:u w:val="none"/>
        </w:rPr>
        <w:pict>
          <v:shape id="_x0000_s2051" o:spid="_x0000_s2051" o:spt="136" type="#_x0000_t136" style="position:absolute;left:0pt;margin-left:10.35pt;margin-top:-0.05pt;height:18.05pt;width:308.2pt;z-index:251662336;mso-width-relative:page;mso-height-relative:page;" fillcolor="#000000" filled="t" stroked="t" coordsize="21600,21600" adj="10800">
            <v:path/>
            <v:fill on="t" color2="#FFFFFF" focussize="0,0"/>
            <v:stroke weight="0.25pt"/>
            <v:imagedata o:title=""/>
            <o:lock v:ext="edit" aspectratio="f"/>
            <v:textpath on="t" fitshape="t" fitpath="t" trim="t" xscale="f" string="伊犁哈萨克自治州市场监督管理局 " style="font-family:宋体;font-size:36pt;v-text-align:center;"/>
            <v:shadow on="t" obscured="f" color="#B2B2B2" opacity="52428f" offset="0.000236220472440945pt,0pt" offset2="-2pt,-2pt"/>
          </v:shape>
        </w:pict>
      </w:r>
      <w:r>
        <w:rPr>
          <w:rFonts w:hint="eastAsia"/>
          <w:sz w:val="28"/>
          <w:szCs w:val="28"/>
          <w:u w:val="none"/>
          <w:lang w:eastAsia="zh-CN"/>
        </w:rPr>
        <w:tab/>
      </w:r>
      <w:r>
        <w:rPr>
          <w:rFonts w:hint="eastAsia"/>
          <w:sz w:val="28"/>
          <w:szCs w:val="28"/>
          <w:u w:val="none"/>
          <w:lang w:val="en-US" w:eastAsia="zh-CN"/>
        </w:rPr>
        <w:t>发布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-338" w:right="1134" w:bottom="1021" w:left="1134" w:header="0" w:footer="0" w:gutter="284"/>
          <w:pgNumType w:fmt="upperRoman" w:start="1"/>
          <w:cols w:space="720" w:num="1"/>
          <w:titlePg/>
          <w:docGrid w:linePitch="312" w:charSpace="0"/>
        </w:sectPr>
      </w:pPr>
      <w:r>
        <w:rPr>
          <w:rFonts w:hint="eastAsia" w:ascii="宋体" w:hAnsi="宋体" w:eastAsia="宋体"/>
          <w:sz w:val="28"/>
          <w:szCs w:val="28"/>
          <w:u w:val="none"/>
          <w:lang w:eastAsia="zh-CN"/>
        </w:rPr>
        <w:pict>
          <v:shape id="_x0000_s2052" o:spid="_x0000_s2052" o:spt="136" type="#_x0000_t136" style="position:absolute;left:0pt;margin-left:-8pt;margin-top:34.2pt;height:20.05pt;width:480.2pt;mso-wrap-distance-bottom:0pt;mso-wrap-distance-left:9pt;mso-wrap-distance-right:9pt;mso-wrap-distance-top:0pt;z-index:251661312;mso-width-relative:page;mso-height-relative:page;" fillcolor="#000000" filled="t" stroked="t" coordsize="21600,21600" adj="10800">
            <v:path/>
            <v:fill on="t" color2="#FFFFFF" focussize="0,0"/>
            <v:stroke weight="0.25pt"/>
            <v:imagedata o:title=""/>
            <o:lock v:ext="edit" aspectratio="f"/>
            <v:textpath on="t" fitshape="t" fitpath="t" trim="t" xscale="f" string="伊犁哈萨克自治州地方标准" style="font-family:宋体;font-size:36pt;v-text-align:center;"/>
            <v:shadow on="t" obscured="f" color="#9999FF" offset="0.000236220472440945pt,0pt" offset2="-2pt,-2pt"/>
            <w10:wrap type="square"/>
          </v:shape>
        </w:pic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szHPvXAAAADgEAAA8AAAAAAAAAAQAgAAAAIgAAAGRycy9kb3ducmV2LnhtbFBLAQIU&#10;ABQAAAAIAIdO4kCfHwEs9AEAAOQ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pStyle w:val="19"/>
        <w:widowControl w:val="0"/>
        <w:ind w:firstLine="0" w:firstLineChars="0"/>
        <w:rPr>
          <w:rFonts w:hint="eastAsia" w:hAnsi="宋体" w:cs="宋体"/>
          <w:color w:val="000000"/>
          <w:szCs w:val="21"/>
        </w:rPr>
      </w:pPr>
      <w:bookmarkStart w:id="1" w:name="muci"/>
      <w:bookmarkEnd w:id="1"/>
    </w:p>
    <w:p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前 言</w:t>
      </w:r>
    </w:p>
    <w:p>
      <w:pPr>
        <w:keepNext w:val="0"/>
        <w:keepLines w:val="0"/>
        <w:widowControl/>
        <w:suppressLineNumbers w:val="0"/>
        <w:jc w:val="center"/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</w:p>
    <w:p>
      <w:pPr>
        <w:pStyle w:val="19"/>
        <w:tabs>
          <w:tab w:val="center" w:pos="4201"/>
          <w:tab w:val="right" w:leader="dot" w:pos="9298"/>
        </w:tabs>
        <w:ind w:left="0" w:leftChars="0" w:firstLine="420" w:firstLineChars="200"/>
        <w:rPr>
          <w:rFonts w:hint="eastAsia" w:ascii="宋体" w:hAnsi="Calibri" w:eastAsia="宋体" w:cs="Times New Roman"/>
          <w:color w:val="000000"/>
          <w:szCs w:val="22"/>
          <w:lang w:val="en-US" w:eastAsia="zh-CN"/>
        </w:rPr>
      </w:pPr>
      <w:r>
        <w:rPr>
          <w:rFonts w:hint="eastAsia" w:ascii="宋体" w:hAnsi="Calibri" w:eastAsia="宋体" w:cs="Times New Roman"/>
          <w:color w:val="000000"/>
          <w:szCs w:val="22"/>
          <w:lang w:val="en-US" w:eastAsia="zh-CN"/>
        </w:rPr>
        <w:t>本规程按照GB/T1.1-20</w:t>
      </w:r>
      <w:r>
        <w:rPr>
          <w:rFonts w:hint="eastAsia" w:hAnsi="Calibri" w:cs="Times New Roman"/>
          <w:color w:val="000000"/>
          <w:szCs w:val="22"/>
          <w:lang w:val="en-US" w:eastAsia="zh-CN"/>
        </w:rPr>
        <w:t>20</w:t>
      </w:r>
      <w:r>
        <w:rPr>
          <w:rFonts w:hint="eastAsia" w:ascii="宋体" w:hAnsi="Calibri" w:eastAsia="宋体" w:cs="Times New Roman"/>
          <w:color w:val="000000"/>
          <w:szCs w:val="22"/>
          <w:lang w:val="en-US" w:eastAsia="zh-CN"/>
        </w:rPr>
        <w:t xml:space="preserve">给出的规则起草。 </w:t>
      </w:r>
    </w:p>
    <w:p>
      <w:pPr>
        <w:pStyle w:val="19"/>
        <w:tabs>
          <w:tab w:val="center" w:pos="4201"/>
          <w:tab w:val="right" w:leader="dot" w:pos="9298"/>
        </w:tabs>
        <w:ind w:left="0" w:leftChars="0" w:firstLine="420" w:firstLineChars="200"/>
        <w:rPr>
          <w:rFonts w:hint="default" w:ascii="宋体" w:hAnsi="Calibri" w:eastAsia="宋体" w:cs="Times New Roman"/>
          <w:color w:val="000000"/>
          <w:szCs w:val="22"/>
          <w:lang w:val="en-US" w:eastAsia="zh-CN"/>
        </w:rPr>
      </w:pPr>
      <w:r>
        <w:rPr>
          <w:rFonts w:hint="eastAsia" w:ascii="宋体" w:hAnsi="Calibri" w:eastAsia="宋体" w:cs="Times New Roman"/>
          <w:color w:val="000000"/>
          <w:szCs w:val="22"/>
          <w:lang w:val="en-US" w:eastAsia="zh-CN"/>
        </w:rPr>
        <w:t>本规程由伊犁州农业科学研究所提出。</w:t>
      </w:r>
    </w:p>
    <w:p>
      <w:pPr>
        <w:pStyle w:val="19"/>
        <w:tabs>
          <w:tab w:val="center" w:pos="4201"/>
          <w:tab w:val="right" w:leader="dot" w:pos="9298"/>
        </w:tabs>
        <w:ind w:left="0" w:leftChars="0" w:firstLine="420" w:firstLineChars="200"/>
        <w:rPr>
          <w:rFonts w:hint="eastAsia" w:ascii="宋体" w:hAnsi="Calibri" w:eastAsia="宋体" w:cs="Times New Roman"/>
          <w:color w:val="000000"/>
          <w:szCs w:val="22"/>
          <w:lang w:val="en-US" w:eastAsia="zh-CN"/>
        </w:rPr>
      </w:pPr>
      <w:r>
        <w:rPr>
          <w:rFonts w:hint="eastAsia" w:ascii="宋体" w:hAnsi="Calibri" w:eastAsia="宋体" w:cs="Times New Roman"/>
          <w:color w:val="000000"/>
          <w:szCs w:val="22"/>
          <w:lang w:val="en-US" w:eastAsia="zh-CN"/>
        </w:rPr>
        <w:t xml:space="preserve">本规程由伊犁州农业标准化技术委员会归口。 </w:t>
      </w:r>
    </w:p>
    <w:p>
      <w:pPr>
        <w:pStyle w:val="19"/>
        <w:tabs>
          <w:tab w:val="center" w:pos="4201"/>
          <w:tab w:val="right" w:leader="dot" w:pos="9298"/>
        </w:tabs>
        <w:ind w:left="0" w:leftChars="0" w:firstLine="420" w:firstLineChars="200"/>
        <w:rPr>
          <w:rFonts w:hint="eastAsia" w:ascii="宋体" w:hAnsi="Calibri" w:eastAsia="宋体" w:cs="Times New Roman"/>
          <w:color w:val="000000"/>
          <w:szCs w:val="22"/>
          <w:lang w:val="en-US" w:eastAsia="zh-CN"/>
        </w:rPr>
      </w:pPr>
      <w:r>
        <w:rPr>
          <w:rFonts w:hint="eastAsia" w:ascii="宋体" w:hAnsi="Calibri" w:eastAsia="宋体" w:cs="Times New Roman"/>
          <w:color w:val="000000"/>
          <w:szCs w:val="22"/>
          <w:lang w:val="en-US" w:eastAsia="zh-CN"/>
        </w:rPr>
        <w:t xml:space="preserve">本规程起草单位：伊犁州农业科学研究所、中国农业科学院麻类研究所。 </w:t>
      </w:r>
    </w:p>
    <w:p>
      <w:pPr>
        <w:pStyle w:val="19"/>
        <w:tabs>
          <w:tab w:val="center" w:pos="4201"/>
          <w:tab w:val="right" w:leader="dot" w:pos="9298"/>
        </w:tabs>
        <w:ind w:left="0" w:leftChars="0" w:firstLine="420" w:firstLineChars="200"/>
        <w:rPr>
          <w:rFonts w:hint="default" w:ascii="宋体" w:hAnsi="Calibri" w:eastAsia="宋体" w:cs="Times New Roman"/>
          <w:color w:val="000000"/>
          <w:szCs w:val="22"/>
          <w:lang w:val="en-US" w:eastAsia="zh-CN"/>
        </w:rPr>
      </w:pPr>
      <w:r>
        <w:rPr>
          <w:rFonts w:hint="eastAsia" w:ascii="宋体" w:hAnsi="Calibri" w:eastAsia="宋体" w:cs="Times New Roman"/>
          <w:color w:val="000000"/>
          <w:szCs w:val="22"/>
          <w:lang w:val="en-US" w:eastAsia="zh-CN"/>
        </w:rPr>
        <w:t>本规程主要起草人：哈尼帕·哈再斯，陈继康，张正，高钢，祖勒胡玛尔·乌斯满江，阿里别里根·哈孜太，守合热提·牙地卡尔</w:t>
      </w:r>
      <w:r>
        <w:rPr>
          <w:rFonts w:hint="eastAsia" w:hAnsi="Calibri" w:cs="Times New Roman"/>
          <w:color w:val="000000"/>
          <w:szCs w:val="22"/>
          <w:lang w:val="en-US" w:eastAsia="zh-CN"/>
        </w:rPr>
        <w:t>。</w:t>
      </w:r>
    </w:p>
    <w:p>
      <w:pPr>
        <w:pStyle w:val="19"/>
        <w:tabs>
          <w:tab w:val="center" w:pos="4201"/>
          <w:tab w:val="right" w:leader="dot" w:pos="9298"/>
        </w:tabs>
        <w:ind w:left="0" w:leftChars="0" w:firstLine="420" w:firstLineChars="200"/>
        <w:rPr>
          <w:rFonts w:hint="eastAsia" w:ascii="宋体" w:hAnsi="Calibri" w:eastAsia="宋体" w:cs="Times New Roman"/>
          <w:color w:val="000000"/>
          <w:szCs w:val="2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bookmarkStart w:id="2" w:name="_GoBack"/>
      <w:bookmarkEnd w:id="2"/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/>
          <w:b/>
          <w:bCs/>
          <w:spacing w:val="-10"/>
          <w:sz w:val="32"/>
          <w:szCs w:val="32"/>
        </w:rPr>
      </w:pPr>
      <w:r>
        <w:rPr>
          <w:rFonts w:hint="eastAsia" w:ascii="宋体" w:hAnsi="宋体"/>
          <w:b/>
          <w:bCs/>
          <w:spacing w:val="-10"/>
          <w:sz w:val="32"/>
          <w:szCs w:val="32"/>
        </w:rPr>
        <w:t>罗布麻种</w:t>
      </w:r>
      <w:r>
        <w:rPr>
          <w:rFonts w:hint="eastAsia" w:ascii="宋体" w:hAnsi="宋体"/>
          <w:b/>
          <w:bCs/>
          <w:spacing w:val="-10"/>
          <w:sz w:val="32"/>
          <w:szCs w:val="32"/>
          <w:lang w:val="en-US" w:eastAsia="zh-CN"/>
        </w:rPr>
        <w:t>质</w:t>
      </w:r>
      <w:r>
        <w:rPr>
          <w:rFonts w:hint="eastAsia" w:ascii="宋体" w:hAnsi="宋体"/>
          <w:b/>
          <w:bCs/>
          <w:spacing w:val="-10"/>
          <w:sz w:val="32"/>
          <w:szCs w:val="32"/>
        </w:rPr>
        <w:t>资源繁殖与保存技术规程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 xml:space="preserve">1 范围 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本规程规定了罗布麻（Apocynum）种质资源繁殖、种子采收与处理、种子入库保存和档案管理等技术要求。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本标准适用于伊犁州地区开展罗布麻种质资源的繁育与保存。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2 规范性应用文件</w: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列文件对本文件的应用是必不可少的。凡是注日期的引用文件，仅所注日期的版本适用于本文件。凡是不注日期的引用文件，其最新版本（包括所有的修改单）适用于本文件。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GB /T 354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3.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3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 xml:space="preserve">  农作物种子检验规程 净度分析标准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GB /T 354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3.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4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 xml:space="preserve">  农作物种子检验规程 发芽试验 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DB65/ T3183  2010罗布麻生产技术规程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3</w:t>
      </w:r>
      <w:r>
        <w:rPr>
          <w:rFonts w:hint="default" w:hAnsi="黑体" w:cs="黑体"/>
          <w:szCs w:val="21"/>
          <w:lang w:val="en-US" w:eastAsia="zh-CN"/>
        </w:rPr>
        <w:t>术语和定义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default" w:hAnsi="黑体" w:cs="黑体"/>
          <w:szCs w:val="21"/>
          <w:lang w:val="en-US" w:eastAsia="zh-CN"/>
        </w:rPr>
        <w:t>3.1罗布麻种质资源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包括罗布白麻和罗布红麻两个种的地方品种、选育的常规品种、品系、遗传材料、野生近缘种。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default" w:hAnsi="黑体" w:cs="黑体"/>
          <w:szCs w:val="21"/>
          <w:lang w:val="en-US" w:eastAsia="zh-CN"/>
        </w:rPr>
      </w:pPr>
      <w:r>
        <w:rPr>
          <w:rFonts w:hint="default" w:hAnsi="黑体" w:cs="黑体"/>
          <w:szCs w:val="21"/>
          <w:lang w:val="en-US" w:eastAsia="zh-CN"/>
        </w:rPr>
        <w:t>3.2资源圃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收集、繁殖和保存罗布麻种质资源的场所。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default" w:hAnsi="黑体" w:cs="黑体"/>
          <w:szCs w:val="21"/>
          <w:lang w:val="en-US" w:eastAsia="zh-CN"/>
        </w:rPr>
        <w:t xml:space="preserve">3.3 去杂 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在罗布麻种质资源繁殖过程中，剔除与原种性状不相符合的植株。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4 资源圃建立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4.1 选址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资源圃的环境质量应选择生态环境良好、无污染的地区，远离工矿区、公路铁路干线和生活区，避开污染源。要求水源充足，地势平坦，排灌便利，光照充足，交通便捷。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坡度≤25°，质地沙壤土，土壤酸碱值pH适宜范围为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。</w:t>
      </w:r>
    </w:p>
    <w:p>
      <w:pPr>
        <w:adjustRightInd w:val="0"/>
        <w:spacing w:line="240" w:lineRule="auto"/>
        <w:ind w:firstLine="420" w:firstLineChars="200"/>
        <w:rPr>
          <w:rFonts w:hint="eastAsia" w:hAnsi="黑体" w:cs="黑体"/>
          <w:szCs w:val="21"/>
          <w:lang w:val="en-US" w:eastAsia="zh-CN"/>
        </w:rPr>
      </w:pP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4.2 规划设计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资源圃规划包括种植田大小，道路，滴管实施，排水实施及田间布局。资源圃引种观察区和保存区，观察区和保护区建设要求相同，观察区用于收集资源的观察，保存区用于资源的保存。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5 资源收集和接纳登记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5.1 收集对象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现有栽培品种、品系、地方品种、野生近原种、无性系等具有重要经济价值和科学研究价值的种质资源。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5.2 保存数量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栽培种、品系、生态型、地方品种、野生近缘种保存20蔸，无性系保存10蔸，资源量不足的应应尽可能多的保存。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default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5.3 接纳登记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接纳登记是种质资源进行保存时，对其进行质量和数量的初步检查和基本信息的登记过程。检查种子收集记录档案，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资源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名称、产地、来源地、采集时间等相关信息是否完整可靠。检查种子外包装有无破损，记录种子数量、健康状况。种子如有受潮或有害虫，应及时进行烘干和熏蒸处理。 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如接纳后不能及时处理，暂时存放在 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1-5 ℃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左右环境中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。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6 种质资源繁殖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6.1 栽培管理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罗布麻田间栽培管理措施参照DB65/ T3183  2010罗布麻生产技术规程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6.2种子采收与处理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6.2.1种果采收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果实成熟一致性好的一次采收，成熟不一致的分批采收。果实采收后装入尼龙网贷，挂好标签。标签填写内容为资源编号，名称，地点，日期。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6.2.2室内考中</w:t>
      </w:r>
    </w:p>
    <w:p>
      <w:pPr>
        <w:adjustRightInd w:val="0"/>
        <w:spacing w:line="240" w:lineRule="auto"/>
        <w:ind w:firstLine="420" w:firstLineChars="200"/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观察种质的果型、果色、果宽、果长、单果重、单果种子数等形状，做好记载。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6.2.3 取种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果实采收后，置于通风阴凉处后熟（3-4）天后取种，取出种子放入尼龙袋，在标签上加注取种日期。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default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7 种子</w:t>
      </w:r>
      <w:r>
        <w:rPr>
          <w:rFonts w:hint="default" w:hAnsi="黑体" w:cs="黑体"/>
          <w:szCs w:val="21"/>
          <w:lang w:val="en-US" w:eastAsia="zh-CN"/>
        </w:rPr>
        <w:t xml:space="preserve">去杂清选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总体要求标准参照 GB /T 354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3.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3，净度不低于98% 。 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 xml:space="preserve">7.1 </w:t>
      </w:r>
      <w:r>
        <w:rPr>
          <w:rFonts w:hint="default" w:hAnsi="黑体" w:cs="黑体"/>
          <w:szCs w:val="21"/>
          <w:lang w:val="en-US" w:eastAsia="zh-CN"/>
        </w:rPr>
        <w:t>清除杂质，杂质包括</w:t>
      </w:r>
      <w:r>
        <w:rPr>
          <w:rFonts w:hint="eastAsia" w:hAnsi="黑体" w:cs="黑体"/>
          <w:szCs w:val="21"/>
          <w:lang w:val="en-US" w:eastAsia="zh-CN"/>
        </w:rPr>
        <w:t>：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（1）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明显不含真种子的种子单位;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（2）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种子单位大小未达到净种子定义规定最低大小的;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（3）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破裂或受损伤种子单位的碎片为原来大小的一半或不及一半的;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（4）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按该种的净种子定义，不将这些附属物作为净种子部分或定义中尚未提及的附属物;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（5）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种皮完全脱落的豆科、十字花科种子;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（6）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脆而易碎呈灰白色、乳白色的菟丝子种子;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（7）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脱下的不育小花、空的颖片、内外稃、稃壳、茎 叶、球果、鳞片、果翅、树皮碎片、花、线虫瘿、真菌体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如麦角、菌核、黑穗病孢子团) 、泥土、砂粒、石砾及所有其他非种子物质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；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default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7.2</w:t>
      </w:r>
      <w:r>
        <w:rPr>
          <w:rFonts w:hint="default" w:hAnsi="黑体" w:cs="黑体"/>
          <w:szCs w:val="21"/>
          <w:lang w:val="en-US" w:eastAsia="zh-CN"/>
        </w:rPr>
        <w:t xml:space="preserve"> 分类、排序、编号、建档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清选好的种子，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罗布麻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的不同来源的种子排放在一起。对排列好的种子进行编号，依次进行登记，建立档案。 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default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7.3</w:t>
      </w:r>
      <w:r>
        <w:rPr>
          <w:rFonts w:hint="default" w:hAnsi="黑体" w:cs="黑体"/>
          <w:szCs w:val="21"/>
          <w:lang w:val="en-US" w:eastAsia="zh-CN"/>
        </w:rPr>
        <w:t xml:space="preserve"> 种子形态观察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观察种子外部形态，记录其颜色，形状，饱满度，有无颖壳等外部形态信息。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default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7.4</w:t>
      </w:r>
      <w:r>
        <w:rPr>
          <w:rFonts w:hint="default" w:hAnsi="黑体" w:cs="黑体"/>
          <w:szCs w:val="21"/>
          <w:lang w:val="en-US" w:eastAsia="zh-CN"/>
        </w:rPr>
        <w:t xml:space="preserve"> 千粒重测定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从净度分析后充分混合的净种子中，随机数取试 验样品2个重复，每重复1 000粒，分别称重，称重的小数位数与 GB /T 354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3.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3 － 1995《农作物种子检验规定净度分析》的规定相同。计算实测千粒重 2 份重量的差数与平均数之比不应超过 5% ，如果超过，则需再分析第 3 份重复，直至达到要求。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default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7.5</w:t>
      </w:r>
      <w:r>
        <w:rPr>
          <w:rFonts w:hint="default" w:hAnsi="黑体" w:cs="黑体"/>
          <w:szCs w:val="21"/>
          <w:lang w:val="en-US" w:eastAsia="zh-CN"/>
        </w:rPr>
        <w:t xml:space="preserve"> 种子活力测定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种子初始发芽力检测采用 GB /T 354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3.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4 进行。 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default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7.6</w:t>
      </w:r>
      <w:r>
        <w:rPr>
          <w:rFonts w:hint="default" w:hAnsi="黑体" w:cs="黑体"/>
          <w:szCs w:val="21"/>
          <w:lang w:val="en-US" w:eastAsia="zh-CN"/>
        </w:rPr>
        <w:t xml:space="preserve"> 种子干燥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种子干燥前，逐份核查种质的编号及份数，确保种质不缺不乱，之后装入透气的网袋或牛皮纸袋中，放入干燥箱进行干燥。种子含水量在贮藏期间应控制在安全含水量以下，当种子初始含水量一般超过 17% 时需进行预干燥。先在低温低湿的干燥间( 20 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 25 ℃，20% 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 30% RH) 进行干燥。 </w:t>
      </w: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default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8</w:t>
      </w:r>
      <w:r>
        <w:rPr>
          <w:rFonts w:hint="default" w:hAnsi="黑体" w:cs="黑体"/>
          <w:szCs w:val="21"/>
          <w:lang w:val="en-US" w:eastAsia="zh-CN"/>
        </w:rPr>
        <w:t xml:space="preserve"> 种子包装称重、入库保存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当种子干燥至适于贮藏的含水量时，按照入库贮藏的数量要求进行包装。包装操作一般在低温低湿条件下进行( 20 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 25 ℃，30% </w:t>
      </w:r>
      <w:r>
        <w:rPr>
          <w:rFonts w:hint="eastAsia" w:ascii="Times New Roman" w:hAnsi="Times New Roman" w:eastAsia="宋体" w:cs="宋体"/>
          <w:color w:val="000000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 xml:space="preserve"> 40% RH) 。 </w:t>
      </w:r>
    </w:p>
    <w:p>
      <w:pPr>
        <w:adjustRightInd w:val="0"/>
        <w:spacing w:line="240" w:lineRule="auto"/>
        <w:ind w:firstLine="420" w:firstLineChars="200"/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</w:pPr>
      <w:r>
        <w:rPr>
          <w:rFonts w:hint="default" w:ascii="Times New Roman" w:hAnsi="Times New Roman" w:eastAsia="宋体" w:cs="宋体"/>
          <w:color w:val="000000"/>
          <w:szCs w:val="21"/>
          <w:lang w:val="en-US" w:eastAsia="zh-CN" w:bidi="ar"/>
        </w:rPr>
        <w:t>包装时注意核对各种质标签，倒入种子后及时封口。包装好的种子用电子秤称重，以克为单位。一批种子称重完成后，要统一检查核对，以防止漏称或记录错误。种子包装称重之后，将种子存放在低温环境中，详细记录种子所在位置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2"/>
        <w:numPr>
          <w:ilvl w:val="0"/>
          <w:numId w:val="0"/>
        </w:numPr>
        <w:spacing w:before="312" w:beforeLines="100" w:after="312" w:afterLines="100"/>
        <w:outlineLvl w:val="0"/>
        <w:rPr>
          <w:rFonts w:hint="eastAsia" w:hAnsi="黑体" w:cs="黑体"/>
          <w:szCs w:val="21"/>
          <w:lang w:val="en-US" w:eastAsia="zh-CN"/>
        </w:rPr>
      </w:pPr>
      <w:r>
        <w:rPr>
          <w:rFonts w:hint="eastAsia" w:hAnsi="黑体" w:cs="黑体"/>
          <w:szCs w:val="21"/>
          <w:lang w:val="en-US" w:eastAsia="zh-CN"/>
        </w:rPr>
        <w:t>9</w:t>
      </w:r>
      <w:r>
        <w:rPr>
          <w:rFonts w:hint="default" w:hAnsi="黑体" w:cs="黑体"/>
          <w:szCs w:val="21"/>
          <w:lang w:val="en-US" w:eastAsia="zh-CN"/>
        </w:rPr>
        <w:t xml:space="preserve"> </w:t>
      </w:r>
      <w:r>
        <w:rPr>
          <w:rFonts w:hint="eastAsia" w:hAnsi="黑体" w:cs="黑体"/>
          <w:szCs w:val="21"/>
          <w:lang w:val="en-US" w:eastAsia="zh-CN"/>
        </w:rPr>
        <w:t>档案管理</w: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分别建立纸质档案和电子档案，实行专人管理。电子档案应备份。罗布麻种质资源登记表格式见附表1。档案管理人员严格遵守保密规定，未征得单位及相关人员同意，不得外传档案资料。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9"/>
        <w:ind w:firstLine="420"/>
        <w:jc w:val="center"/>
        <w:rPr>
          <w:rFonts w:hint="eastAsia" w:ascii="黑体" w:hAnsi="黑体" w:eastAsia="黑体" w:cs="黑体"/>
          <w:color w:val="000000"/>
        </w:rPr>
      </w:pPr>
      <w:r>
        <w:rPr>
          <w:rFonts w:hint="eastAsia" w:ascii="黑体" w:hAnsi="黑体" w:eastAsia="黑体" w:cs="黑体"/>
          <w:color w:val="000000"/>
        </w:rPr>
        <w:t>附  录  A</w:t>
      </w:r>
    </w:p>
    <w:p>
      <w:pPr>
        <w:pStyle w:val="9"/>
        <w:ind w:firstLine="420"/>
        <w:jc w:val="center"/>
        <w:rPr>
          <w:rFonts w:hint="eastAsia" w:ascii="黑体" w:hAnsi="黑体" w:eastAsia="黑体" w:cs="黑体"/>
          <w:color w:val="000000"/>
        </w:rPr>
      </w:pPr>
      <w:r>
        <w:rPr>
          <w:rFonts w:hint="eastAsia" w:ascii="黑体" w:hAnsi="黑体" w:eastAsia="黑体" w:cs="黑体"/>
          <w:color w:val="000000"/>
        </w:rPr>
        <w:t>（资料</w:t>
      </w:r>
      <w:r>
        <w:rPr>
          <w:rFonts w:hint="eastAsia" w:ascii="黑体" w:hAnsi="黑体" w:eastAsia="黑体" w:cs="黑体"/>
          <w:color w:val="000000"/>
          <w:lang w:val="en-US" w:eastAsia="zh-CN"/>
        </w:rPr>
        <w:t>性</w:t>
      </w:r>
      <w:r>
        <w:rPr>
          <w:rFonts w:hint="eastAsia" w:ascii="黑体" w:hAnsi="黑体" w:eastAsia="黑体" w:cs="黑体"/>
          <w:color w:val="000000"/>
        </w:rPr>
        <w:t>）</w:t>
      </w:r>
    </w:p>
    <w:p>
      <w:pPr>
        <w:pStyle w:val="9"/>
        <w:ind w:firstLine="420"/>
        <w:jc w:val="center"/>
        <w:rPr>
          <w:rFonts w:hint="eastAsia" w:ascii="黑体" w:hAnsi="黑体" w:eastAsia="黑体" w:cs="黑体"/>
          <w:color w:val="000000"/>
        </w:rPr>
      </w:pPr>
      <w:r>
        <w:rPr>
          <w:rFonts w:hint="eastAsia" w:ascii="黑体" w:hAnsi="黑体" w:eastAsia="黑体" w:cs="黑体"/>
          <w:color w:val="000000"/>
        </w:rPr>
        <w:t>记录和表格</w:t>
      </w:r>
    </w:p>
    <w:p>
      <w:pPr>
        <w:pStyle w:val="9"/>
        <w:ind w:firstLine="420"/>
        <w:jc w:val="center"/>
        <w:rPr>
          <w:rFonts w:hint="eastAsia"/>
          <w:color w:val="000000"/>
        </w:rPr>
      </w:pPr>
    </w:p>
    <w:p>
      <w:pPr>
        <w:pStyle w:val="9"/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A.1 </w:t>
      </w:r>
      <w:r>
        <w:rPr>
          <w:rFonts w:hint="eastAsia"/>
          <w:color w:val="000000"/>
          <w:lang w:val="en-US" w:eastAsia="zh-CN"/>
        </w:rPr>
        <w:t>资源管理</w:t>
      </w:r>
      <w:r>
        <w:rPr>
          <w:rFonts w:hint="eastAsia"/>
          <w:color w:val="000000"/>
        </w:rPr>
        <w:t>档案</w:t>
      </w:r>
    </w:p>
    <w:p>
      <w:pPr>
        <w:pStyle w:val="9"/>
        <w:ind w:firstLine="0" w:firstLineChars="0"/>
        <w:rPr>
          <w:rFonts w:hint="eastAsia"/>
          <w:color w:val="000000"/>
        </w:rPr>
      </w:pPr>
    </w:p>
    <w:p>
      <w:pPr>
        <w:pStyle w:val="9"/>
        <w:ind w:firstLine="0" w:firstLineChars="0"/>
        <w:rPr>
          <w:rFonts w:hint="eastAsia" w:eastAsia="宋体"/>
          <w:color w:val="000000"/>
          <w:lang w:eastAsia="zh-CN"/>
        </w:rPr>
      </w:pP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</w:rPr>
        <w:t xml:space="preserve"> </w:t>
      </w:r>
      <w:r>
        <w:rPr>
          <w:rFonts w:hint="default"/>
          <w:lang w:val="en-US" w:eastAsia="zh-CN"/>
        </w:rPr>
        <w:t>罗布麻种质资源登记表</w:t>
      </w:r>
      <w:r>
        <w:rPr>
          <w:rFonts w:hint="eastAsia"/>
          <w:color w:val="000000"/>
        </w:rPr>
        <w:t>A.1</w:t>
      </w:r>
      <w:r>
        <w:rPr>
          <w:rFonts w:hint="eastAsia"/>
          <w:color w:val="000000"/>
          <w:lang w:eastAsia="zh-CN"/>
        </w:rPr>
        <w:t>。</w:t>
      </w:r>
    </w:p>
    <w:p>
      <w:pPr>
        <w:pStyle w:val="22"/>
        <w:numPr>
          <w:ilvl w:val="0"/>
          <w:numId w:val="0"/>
        </w:numPr>
        <w:spacing w:before="0" w:beforeLines="0" w:after="0" w:afterLines="0" w:line="360" w:lineRule="auto"/>
        <w:ind w:firstLine="3570" w:firstLineChars="1700"/>
        <w:jc w:val="both"/>
        <w:rPr>
          <w:rFonts w:hint="default"/>
          <w:lang w:val="en-US" w:eastAsia="zh-CN"/>
        </w:rPr>
      </w:pPr>
      <w:r>
        <w:rPr>
          <w:rFonts w:hint="eastAsia" w:hAnsi="黑体" w:cs="黑体"/>
          <w:color w:val="000000"/>
          <w:szCs w:val="21"/>
        </w:rPr>
        <w:t>表A.1</w:t>
      </w:r>
      <w:r>
        <w:rPr>
          <w:rFonts w:hint="eastAsia" w:hAnsi="黑体" w:cs="黑体"/>
          <w:color w:val="000000"/>
          <w:szCs w:val="21"/>
          <w:lang w:val="en-US" w:eastAsia="zh-CN"/>
        </w:rPr>
        <w:t xml:space="preserve"> </w:t>
      </w:r>
      <w:r>
        <w:rPr>
          <w:rFonts w:hint="default"/>
          <w:lang w:val="en-US" w:eastAsia="zh-CN"/>
        </w:rPr>
        <w:t>罗布麻种质资源登记表</w:t>
      </w:r>
    </w:p>
    <w:tbl>
      <w:tblPr>
        <w:tblStyle w:val="5"/>
        <w:tblW w:w="85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8552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资源编号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资源名称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原 产 地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海    拔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经    纬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维    度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保存单位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繁殖单位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育成年份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选育方法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种质类型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观测地点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8552" w:type="dxa"/>
            <w:gridSpan w:val="6"/>
            <w:vAlign w:val="center"/>
          </w:tcPr>
          <w:p>
            <w:pPr>
              <w:pStyle w:val="19"/>
              <w:widowControl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植株特征特性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450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株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行</w:t>
            </w: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株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高</w:t>
            </w: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茎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粗</w:t>
            </w:r>
          </w:p>
        </w:tc>
        <w:tc>
          <w:tcPr>
            <w:tcW w:w="1421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450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分枝类型</w:t>
            </w: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分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枝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数</w:t>
            </w: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叶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型</w:t>
            </w:r>
          </w:p>
        </w:tc>
        <w:tc>
          <w:tcPr>
            <w:tcW w:w="1421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0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叶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色</w:t>
            </w: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叶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缘</w:t>
            </w: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叶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长</w:t>
            </w:r>
          </w:p>
        </w:tc>
        <w:tc>
          <w:tcPr>
            <w:tcW w:w="1421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0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叶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宽</w:t>
            </w: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叶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柄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长</w:t>
            </w: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花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色</w:t>
            </w:r>
          </w:p>
        </w:tc>
        <w:tc>
          <w:tcPr>
            <w:tcW w:w="1421" w:type="dxa"/>
          </w:tcPr>
          <w:p>
            <w:pPr>
              <w:pStyle w:val="19"/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花    萼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花    冠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果    形</w:t>
            </w:r>
          </w:p>
        </w:tc>
        <w:tc>
          <w:tcPr>
            <w:tcW w:w="1421" w:type="dxa"/>
          </w:tcPr>
          <w:p>
            <w:pPr>
              <w:pStyle w:val="19"/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0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果面特征</w:t>
            </w: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果面光泽</w:t>
            </w: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单株果数</w:t>
            </w:r>
          </w:p>
        </w:tc>
        <w:tc>
          <w:tcPr>
            <w:tcW w:w="1421" w:type="dxa"/>
          </w:tcPr>
          <w:p>
            <w:pPr>
              <w:pStyle w:val="19"/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0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果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重</w:t>
            </w: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果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长</w:t>
            </w: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单果种子数</w:t>
            </w:r>
          </w:p>
        </w:tc>
        <w:tc>
          <w:tcPr>
            <w:tcW w:w="1421" w:type="dxa"/>
          </w:tcPr>
          <w:p>
            <w:pPr>
              <w:pStyle w:val="19"/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0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千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粒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重</w:t>
            </w: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种子颜色</w:t>
            </w:r>
          </w:p>
        </w:tc>
        <w:tc>
          <w:tcPr>
            <w:tcW w:w="1420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种子表面</w:t>
            </w:r>
          </w:p>
        </w:tc>
        <w:tc>
          <w:tcPr>
            <w:tcW w:w="1421" w:type="dxa"/>
          </w:tcPr>
          <w:p>
            <w:pPr>
              <w:pStyle w:val="19"/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8552" w:type="dxa"/>
            <w:gridSpan w:val="6"/>
            <w:vAlign w:val="center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抗逆性、抗病性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0" w:type="dxa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耐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性</w:t>
            </w:r>
          </w:p>
        </w:tc>
        <w:tc>
          <w:tcPr>
            <w:tcW w:w="1420" w:type="dxa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0" w:type="dxa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耐热性</w:t>
            </w:r>
          </w:p>
        </w:tc>
        <w:tc>
          <w:tcPr>
            <w:tcW w:w="1420" w:type="dxa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1" w:type="dxa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耐劳性</w:t>
            </w:r>
          </w:p>
        </w:tc>
        <w:tc>
          <w:tcPr>
            <w:tcW w:w="1421" w:type="dxa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0" w:type="dxa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耐旱性</w:t>
            </w:r>
          </w:p>
        </w:tc>
        <w:tc>
          <w:tcPr>
            <w:tcW w:w="1420" w:type="dxa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0" w:type="dxa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抗病性</w:t>
            </w:r>
          </w:p>
        </w:tc>
        <w:tc>
          <w:tcPr>
            <w:tcW w:w="1420" w:type="dxa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1" w:type="dxa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21" w:type="dxa"/>
          </w:tcPr>
          <w:p>
            <w:pPr>
              <w:pStyle w:val="19"/>
              <w:widowControl w:val="0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552" w:type="dxa"/>
            <w:gridSpan w:val="6"/>
            <w:vAlign w:val="center"/>
          </w:tcPr>
          <w:p>
            <w:pPr>
              <w:pStyle w:val="19"/>
              <w:widowControl w:val="0"/>
              <w:ind w:left="0" w:leftChars="0" w:firstLine="36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级载人：                  </w:t>
            </w: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  保管人：</w:t>
            </w:r>
          </w:p>
        </w:tc>
      </w:tr>
    </w:tbl>
    <w:p>
      <w:pPr>
        <w:pStyle w:val="19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19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720"/>
      <w:jc w:val="both"/>
      <w:rPr>
        <w:sz w:val="2"/>
        <w:szCs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1fWDns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spacing w:after="360" w:line="240" w:lineRule="auto"/>
      <w:jc w:val="right"/>
      <w:rPr>
        <w:rFonts w:hint="eastAsia" w:ascii="黑体" w:hAnsi="黑体" w:eastAsia="黑体" w:cs="黑体"/>
        <w:bCs/>
        <w:sz w:val="21"/>
        <w:szCs w:val="21"/>
        <w:lang w:val="en-US" w:eastAsia="zh-CN"/>
      </w:rPr>
    </w:pPr>
    <w:r>
      <w:rPr>
        <w:rFonts w:hint="eastAsia" w:ascii="黑体" w:hAnsi="黑体" w:eastAsia="黑体" w:cs="黑体"/>
        <w:bCs/>
        <w:sz w:val="21"/>
        <w:szCs w:val="21"/>
      </w:rPr>
      <w:t>DB6540/T 004—202</w:t>
    </w:r>
    <w:r>
      <w:rPr>
        <w:rFonts w:hint="eastAsia" w:ascii="黑体" w:hAnsi="黑体" w:eastAsia="黑体" w:cs="黑体"/>
        <w:bCs/>
        <w:sz w:val="21"/>
        <w:szCs w:val="21"/>
        <w:lang w:val="en-US" w:eastAsia="zh-CN"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pStyle w:val="22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DVlYzJmOWRmYTI1MmY4MGNjYWU0MDdiZTRkOTkifQ=="/>
  </w:docVars>
  <w:rsids>
    <w:rsidRoot w:val="4B61212B"/>
    <w:rsid w:val="004F1E8C"/>
    <w:rsid w:val="01BB7833"/>
    <w:rsid w:val="0A2763AD"/>
    <w:rsid w:val="10B755B5"/>
    <w:rsid w:val="122D336B"/>
    <w:rsid w:val="160A26DF"/>
    <w:rsid w:val="270A253F"/>
    <w:rsid w:val="3C517B1A"/>
    <w:rsid w:val="4811569B"/>
    <w:rsid w:val="4AFD0C38"/>
    <w:rsid w:val="4B61212B"/>
    <w:rsid w:val="4E087FAC"/>
    <w:rsid w:val="59376DAF"/>
    <w:rsid w:val="5D9E57F1"/>
    <w:rsid w:val="5E48511F"/>
    <w:rsid w:val="6522597D"/>
    <w:rsid w:val="6B480A8C"/>
    <w:rsid w:val="70812E3F"/>
    <w:rsid w:val="7875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 w:hAnsi="Times New Roman"/>
      <w:kern w:val="0"/>
      <w:sz w:val="18"/>
      <w:szCs w:val="18"/>
    </w:rPr>
  </w:style>
  <w:style w:type="paragraph" w:styleId="3">
    <w:name w:val="header"/>
    <w:basedOn w:val="1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8">
    <w:name w:val="标准文件_文件编号"/>
    <w:basedOn w:val="9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9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bidi="ar-SA"/>
    </w:rPr>
  </w:style>
  <w:style w:type="paragraph" w:customStyle="1" w:styleId="10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11">
    <w:name w:val="标准文件_文件名称"/>
    <w:basedOn w:val="9"/>
    <w:next w:val="9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12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3">
    <w:name w:val="其他发布日期"/>
    <w:basedOn w:val="14"/>
    <w:qFormat/>
    <w:uiPriority w:val="0"/>
    <w:pPr>
      <w:framePr w:w="3997" w:h="471" w:hRule="exact" w:hSpace="0" w:vSpace="181" w:vAnchor="page" w:hAnchor="page" w:x="1419" w:y="14097"/>
    </w:pPr>
  </w:style>
  <w:style w:type="paragraph" w:customStyle="1" w:styleId="14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5">
    <w:name w:val="其他实施日期"/>
    <w:basedOn w:val="16"/>
    <w:qFormat/>
    <w:uiPriority w:val="0"/>
    <w:pPr>
      <w:framePr w:w="3997" w:h="471" w:hRule="exact" w:vSpace="181" w:vAnchor="page" w:hAnchor="page" w:x="7089" w:y="14097"/>
    </w:pPr>
  </w:style>
  <w:style w:type="paragraph" w:customStyle="1" w:styleId="16">
    <w:name w:val="实施日期"/>
    <w:basedOn w:val="14"/>
    <w:qFormat/>
    <w:uiPriority w:val="0"/>
    <w:pPr>
      <w:framePr w:hSpace="0" w:xAlign="right"/>
      <w:jc w:val="right"/>
    </w:pPr>
  </w:style>
  <w:style w:type="paragraph" w:customStyle="1" w:styleId="17">
    <w:name w:val="其他发布部门"/>
    <w:basedOn w:val="18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8">
    <w:name w:val="发布部门"/>
    <w:next w:val="19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9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0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21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22">
    <w:name w:val="章标题"/>
    <w:next w:val="19"/>
    <w:qFormat/>
    <w:uiPriority w:val="0"/>
    <w:pPr>
      <w:numPr>
        <w:ilvl w:val="1"/>
        <w:numId w:val="1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2279</Words>
  <Characters>2479</Characters>
  <Lines>0</Lines>
  <Paragraphs>0</Paragraphs>
  <TotalTime>43</TotalTime>
  <ScaleCrop>false</ScaleCrop>
  <LinksUpToDate>false</LinksUpToDate>
  <CharactersWithSpaces>2762</CharactersWithSpaces>
  <Application>WPS Office_11.8.2.11500_F1E327BC-269C-435d-A152-05C5408002CA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2023-01-11T17:01:00Z</dcterms:created>
  <dc:creator>哈尼帕</dc:creator>
  <cp:lastModifiedBy>Administrator</cp:lastModifiedBy>
  <cp:lastPrinted>2023-04-07T05:32:00Z</cp:lastPrinted>
  <dcterms:modified xsi:type="dcterms:W3CDTF">2023-04-28T02:39:06Z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2052-11.8.2.11500</vt:lpwstr>
  </property>
  <property fmtid="{D5CDD505-2E9C-101B-9397-08002B2CF9AE}" pid="3" name="ICV">
    <vt:lpwstr>7BB0BF23FD20431AA83C312FCD07A897</vt:lpwstr>
  </property>
</Properties>
</file>