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rFonts w:hint="eastAsia"/>
        </w:rPr>
      </w:pPr>
      <w:bookmarkStart w:id="0" w:name="_Toc262204634"/>
    </w:p>
    <w:tbl>
      <w:tblPr>
        <w:tblStyle w:val="7"/>
        <w:tblpPr w:leftFromText="180" w:rightFromText="180" w:vertAnchor="text" w:horzAnchor="page" w:tblpX="4315" w:tblpY="350"/>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pPr>
              <w:pStyle w:val="28"/>
              <w:framePr w:w="0" w:hRule="auto" w:wrap="auto" w:vAnchor="margin" w:hAnchor="text" w:xAlign="left" w:yAlign="inline"/>
              <w:rPr>
                <w:rFonts w:ascii="宋体" w:hAnsi="宋体"/>
                <w:sz w:val="28"/>
                <w:szCs w:val="28"/>
              </w:rPr>
            </w:pPr>
            <w:r>
              <w:drawing>
                <wp:inline distT="0" distB="0" distL="114300" distR="114300">
                  <wp:extent cx="796290" cy="397510"/>
                  <wp:effectExtent l="0" t="0" r="381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2"/>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t>6540</w:t>
            </w:r>
          </w:p>
        </w:tc>
      </w:tr>
    </w:tbl>
    <w:p>
      <w:pPr>
        <w:pStyle w:val="16"/>
        <w:jc w:val="center"/>
        <w:rPr>
          <w:rFonts w:hint="eastAsia"/>
        </w:rPr>
      </w:pPr>
    </w:p>
    <w:p>
      <w:pPr>
        <w:pStyle w:val="16"/>
        <w:keepNext w:val="0"/>
        <w:keepLines w:val="0"/>
        <w:pageBreakBefore w:val="0"/>
        <w:kinsoku/>
        <w:wordWrap/>
        <w:overflowPunct/>
        <w:topLinePunct w:val="0"/>
        <w:autoSpaceDE/>
        <w:autoSpaceDN/>
        <w:bidi w:val="0"/>
        <w:adjustRightInd/>
        <w:snapToGrid/>
        <w:spacing w:line="560" w:lineRule="exact"/>
        <w:jc w:val="center"/>
        <w:textAlignment w:val="auto"/>
        <w:rPr>
          <w:rFonts w:hint="eastAsia"/>
        </w:rPr>
      </w:pPr>
    </w:p>
    <w:p>
      <w:pPr>
        <w:pStyle w:val="16"/>
        <w:keepNext w:val="0"/>
        <w:keepLines w:val="0"/>
        <w:pageBreakBefore w:val="0"/>
        <w:kinsoku/>
        <w:wordWrap/>
        <w:overflowPunct/>
        <w:topLinePunct w:val="0"/>
        <w:autoSpaceDE/>
        <w:autoSpaceDN/>
        <w:bidi w:val="0"/>
        <w:adjustRightInd/>
        <w:snapToGrid/>
        <w:spacing w:line="560" w:lineRule="exact"/>
        <w:jc w:val="center"/>
        <w:textAlignment w:val="auto"/>
        <w:rPr>
          <w:rFonts w:hint="eastAsia"/>
        </w:rPr>
      </w:pPr>
    </w:p>
    <w:p>
      <w:pPr>
        <w:pStyle w:val="29"/>
        <w:jc w:val="center"/>
        <w:rPr>
          <w:rFonts w:hint="default" w:hAnsi="黑体"/>
          <w:color w:val="000000"/>
          <w:lang w:val="en-US"/>
        </w:rPr>
      </w:pPr>
      <w:r>
        <w:rPr>
          <w:rFonts w:hint="eastAsia"/>
          <w:color w:val="000000"/>
          <w:lang w:val="en-US" w:eastAsia="zh-CN"/>
        </w:rPr>
        <w:t xml:space="preserve">                                                   </w:t>
      </w:r>
      <w:r>
        <w:rPr>
          <w:color w:val="000000"/>
          <w:lang w:val="fr-FR"/>
        </w:rPr>
        <w:t>DB</w:t>
      </w:r>
      <w:r>
        <w:rPr>
          <w:rFonts w:hint="eastAsia"/>
          <w:color w:val="000000"/>
          <w:lang w:val="en-US" w:eastAsia="zh-CN"/>
        </w:rPr>
        <w:t>6540/T</w:t>
      </w:r>
      <w:r>
        <w:rPr>
          <w:color w:val="000000"/>
          <w:sz w:val="15"/>
          <w:szCs w:val="15"/>
          <w:lang w:val="fr-FR"/>
        </w:rPr>
        <w:t xml:space="preserve"> </w:t>
      </w:r>
      <w:r>
        <w:rPr>
          <w:rFonts w:hint="default"/>
          <w:color w:val="000000"/>
          <w:sz w:val="15"/>
          <w:szCs w:val="15"/>
        </w:rPr>
        <w:t>XXX</w:t>
      </w:r>
      <w:r>
        <w:rPr>
          <w:color w:val="000000"/>
        </w:rPr>
        <w:t>-</w:t>
      </w:r>
      <w:r>
        <w:rPr>
          <w:rFonts w:hint="eastAsia" w:hAnsi="黑体"/>
          <w:color w:val="000000"/>
          <w:lang w:val="en-US" w:eastAsia="zh-CN"/>
        </w:rPr>
        <w:t>2023</w:t>
      </w:r>
    </w:p>
    <w:p>
      <w:pPr>
        <w:pStyle w:val="16"/>
        <w:keepNext w:val="0"/>
        <w:keepLines w:val="0"/>
        <w:pageBreakBefore w:val="0"/>
        <w:kinsoku/>
        <w:wordWrap/>
        <w:overflowPunct/>
        <w:topLinePunct w:val="0"/>
        <w:autoSpaceDE/>
        <w:autoSpaceDN/>
        <w:bidi w:val="0"/>
        <w:adjustRightInd/>
        <w:snapToGrid/>
        <w:spacing w:line="560" w:lineRule="exact"/>
        <w:jc w:val="center"/>
        <w:textAlignment w:val="auto"/>
        <w:rPr>
          <w:rFonts w:hint="eastAsia"/>
        </w:rPr>
      </w:pPr>
      <w:bookmarkStart w:id="14" w:name="_GoBack"/>
      <w:bookmarkEnd w:id="14"/>
    </w:p>
    <w:p>
      <w:pPr>
        <w:pStyle w:val="16"/>
        <w:keepNext w:val="0"/>
        <w:keepLines w:val="0"/>
        <w:pageBreakBefore w:val="0"/>
        <w:kinsoku/>
        <w:wordWrap/>
        <w:overflowPunct/>
        <w:topLinePunct w:val="0"/>
        <w:autoSpaceDE/>
        <w:autoSpaceDN/>
        <w:bidi w:val="0"/>
        <w:adjustRightInd/>
        <w:snapToGrid/>
        <w:spacing w:line="560" w:lineRule="exact"/>
        <w:jc w:val="center"/>
        <w:textAlignment w:val="auto"/>
      </w:pPr>
      <w:r>
        <w:rPr>
          <w:rFonts w:hint="eastAsia"/>
        </w:rPr>
        <w:t xml:space="preserve">伊 犁 哈 萨 克 自 治 州 </w:t>
      </w:r>
      <w:r>
        <w:t>地</w:t>
      </w:r>
      <w:r>
        <w:rPr>
          <w:rFonts w:hint="eastAsia"/>
        </w:rPr>
        <w:t xml:space="preserve"> </w:t>
      </w:r>
      <w:r>
        <w:t>方</w:t>
      </w:r>
      <w:r>
        <w:rPr>
          <w:rFonts w:hint="eastAsia"/>
        </w:rPr>
        <w:t xml:space="preserve"> </w:t>
      </w:r>
      <w:r>
        <w:t>标</w:t>
      </w:r>
      <w:r>
        <w:rPr>
          <w:rFonts w:hint="eastAsia"/>
        </w:rPr>
        <w:t xml:space="preserve"> </w:t>
      </w:r>
      <w:r>
        <w:t>准</w:t>
      </w:r>
    </w:p>
    <w:p>
      <w:pPr>
        <w:pStyle w:val="13"/>
        <w:keepNext w:val="0"/>
        <w:keepLines w:val="0"/>
        <w:pageBreakBefore w:val="0"/>
        <w:kinsoku/>
        <w:wordWrap/>
        <w:overflowPunct/>
        <w:topLinePunct w:val="0"/>
        <w:autoSpaceDE/>
        <w:autoSpaceDN/>
        <w:bidi w:val="0"/>
        <w:adjustRightInd/>
        <w:snapToGrid/>
        <w:spacing w:line="560" w:lineRule="exact"/>
        <w:textAlignment w:val="auto"/>
        <w:rPr>
          <w:rFonts w:hint="eastAsia" w:hAnsi="黑体"/>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8255</wp:posOffset>
                </wp:positionH>
                <wp:positionV relativeFrom="paragraph">
                  <wp:posOffset>349885</wp:posOffset>
                </wp:positionV>
                <wp:extent cx="6094095" cy="22225"/>
                <wp:effectExtent l="0" t="6350" r="1905" b="9525"/>
                <wp:wrapNone/>
                <wp:docPr id="14" name="直接连接符 14"/>
                <wp:cNvGraphicFramePr/>
                <a:graphic xmlns:a="http://schemas.openxmlformats.org/drawingml/2006/main">
                  <a:graphicData uri="http://schemas.microsoft.com/office/word/2010/wordprocessingShape">
                    <wps:wsp>
                      <wps:cNvCnPr/>
                      <wps:spPr>
                        <a:xfrm flipV="1">
                          <a:off x="0" y="0"/>
                          <a:ext cx="6094095" cy="22225"/>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65pt;margin-top:27.55pt;height:1.75pt;width:479.85pt;z-index:251660288;mso-width-relative:page;mso-height-relative:page;" filled="f" stroked="t" coordsize="21600,21600" o:gfxdata="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CMNip1AAAAAcBAAAPAAAAAAAAAAEAIAAAACIAAABkcnMvZG93bnJl&#10;di54bWxQSwECFAAUAAAACACHTuJAKAKbKwECAAD1AwAADgAAAAAAAAABACAAAAAjAQAAZHJzL2Uy&#10;b0RvYy54bWxQSwUGAAAAAAYABgBZAQAAlgUAAAAA&#10;">
                <v:fill on="f" focussize="0,0"/>
                <v:stroke weight="1pt" color="#800008" joinstyle="round"/>
                <v:imagedata o:title=""/>
                <o:lock v:ext="edit" aspectratio="f"/>
              </v:line>
            </w:pict>
          </mc:Fallback>
        </mc:AlternateConten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宋体" w:eastAsia="黑体"/>
          <w:b/>
          <w:color w:val="000000"/>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宋体" w:eastAsia="黑体"/>
          <w:b/>
          <w:color w:val="000000"/>
          <w:sz w:val="44"/>
          <w:szCs w:val="44"/>
        </w:rPr>
      </w:pPr>
      <w:r>
        <w:rPr>
          <w:rFonts w:hint="eastAsia" w:ascii="黑体" w:hAnsi="宋体" w:eastAsia="黑体"/>
          <w:b/>
          <w:color w:val="000000"/>
          <w:sz w:val="44"/>
          <w:szCs w:val="44"/>
        </w:rPr>
        <w:t>红花</w:t>
      </w:r>
      <w:r>
        <w:rPr>
          <w:rFonts w:hint="eastAsia" w:ascii="黑体" w:hAnsi="宋体" w:eastAsia="黑体"/>
          <w:b/>
          <w:color w:val="000000"/>
          <w:sz w:val="44"/>
          <w:szCs w:val="44"/>
          <w:lang w:eastAsia="zh-CN"/>
        </w:rPr>
        <w:t>错时播种</w:t>
      </w:r>
      <w:r>
        <w:rPr>
          <w:rFonts w:hint="eastAsia" w:ascii="黑体" w:hAnsi="宋体" w:eastAsia="黑体"/>
          <w:b/>
          <w:color w:val="000000"/>
          <w:sz w:val="44"/>
          <w:szCs w:val="44"/>
        </w:rPr>
        <w:t>栽培技术规程</w:t>
      </w:r>
    </w:p>
    <w:p>
      <w:pPr>
        <w:pStyle w:val="31"/>
        <w:textAlignment w:val="bottom"/>
        <w:rPr>
          <w:rFonts w:hint="default" w:eastAsia="黑体"/>
          <w:szCs w:val="28"/>
        </w:rPr>
      </w:pPr>
      <w:r>
        <w:rPr>
          <w:rFonts w:hint="eastAsia" w:hAnsi="黑体"/>
          <w:lang w:eastAsia="zh-CN"/>
        </w:rPr>
        <w:tab/>
      </w:r>
      <w:r>
        <w:rPr>
          <w:rFonts w:hint="eastAsia" w:ascii="宋体" w:hAnsi="宋体"/>
          <w:sz w:val="28"/>
          <w:szCs w:val="28"/>
          <w:lang w:val="en-US" w:eastAsia="zh-CN"/>
        </w:rPr>
        <w:t xml:space="preserve"> </w:t>
      </w:r>
      <w:r>
        <w:rPr>
          <w:rFonts w:hint="default" w:eastAsia="黑体"/>
          <w:szCs w:val="28"/>
        </w:rPr>
        <w:t>(征求意见稿)</w:t>
      </w:r>
    </w:p>
    <w:p>
      <w:pPr>
        <w:pStyle w:val="13"/>
        <w:keepNext w:val="0"/>
        <w:keepLines w:val="0"/>
        <w:pageBreakBefore w:val="0"/>
        <w:tabs>
          <w:tab w:val="left" w:pos="3703"/>
        </w:tabs>
        <w:kinsoku/>
        <w:wordWrap/>
        <w:overflowPunct/>
        <w:topLinePunct w:val="0"/>
        <w:autoSpaceDE/>
        <w:autoSpaceDN/>
        <w:bidi w:val="0"/>
        <w:adjustRightInd/>
        <w:snapToGrid/>
        <w:spacing w:line="560" w:lineRule="exact"/>
        <w:jc w:val="left"/>
        <w:textAlignment w:val="auto"/>
        <w:rPr>
          <w:rFonts w:hint="eastAsia" w:hAnsi="黑体"/>
        </w:rPr>
      </w:pPr>
    </w:p>
    <w:p>
      <w:pPr>
        <w:pStyle w:val="13"/>
        <w:keepNext w:val="0"/>
        <w:keepLines w:val="0"/>
        <w:pageBreakBefore w:val="0"/>
        <w:kinsoku/>
        <w:wordWrap/>
        <w:overflowPunct/>
        <w:topLinePunct w:val="0"/>
        <w:autoSpaceDE/>
        <w:autoSpaceDN/>
        <w:bidi w:val="0"/>
        <w:adjustRightInd/>
        <w:snapToGrid/>
        <w:spacing w:line="560" w:lineRule="exact"/>
        <w:textAlignment w:val="auto"/>
        <w:rPr>
          <w:rFonts w:hint="eastAsia" w:hAnsi="黑体"/>
        </w:rPr>
      </w:pPr>
    </w:p>
    <w:p>
      <w:pPr>
        <w:pStyle w:val="27"/>
        <w:framePr w:wrap="around" w:x="1238" w:y="14116"/>
        <w:rPr>
          <w:color w:val="000000"/>
        </w:rPr>
      </w:pPr>
      <w:r>
        <w:rPr>
          <w:rFonts w:hint="eastAsia" w:ascii="黑体"/>
          <w:color w:val="000000"/>
        </w:rPr>
        <w:t>202</w:t>
      </w:r>
      <w:r>
        <w:rPr>
          <w:rFonts w:hint="eastAsia" w:ascii="黑体"/>
          <w:color w:val="000000"/>
          <w:lang w:val="en-US" w:eastAsia="zh-CN"/>
        </w:rPr>
        <w:t>3</w:t>
      </w:r>
      <w:r>
        <w:rPr>
          <w:rFonts w:ascii="黑体"/>
          <w:color w:val="000000"/>
        </w:rPr>
        <w:t>-</w:t>
      </w:r>
      <w:r>
        <w:rPr>
          <w:rFonts w:hint="default" w:ascii="黑体"/>
          <w:color w:val="000000"/>
        </w:rPr>
        <w:t>XX</w:t>
      </w:r>
      <w:r>
        <w:rPr>
          <w:rFonts w:ascii="黑体"/>
          <w:color w:val="000000"/>
        </w:rPr>
        <w:t>-</w:t>
      </w:r>
      <w:r>
        <w:rPr>
          <w:rFonts w:hint="default" w:ascii="黑体"/>
          <w:color w:val="000000"/>
        </w:rPr>
        <w:t>XX</w:t>
      </w:r>
      <w:r>
        <w:rPr>
          <w:rFonts w:hint="eastAsia"/>
          <w:color w:val="000000"/>
        </w:rPr>
        <w:t>发布</w:t>
      </w:r>
    </w:p>
    <w:p>
      <w:pPr>
        <w:pStyle w:val="26"/>
        <w:framePr w:wrap="around" w:y="14176"/>
        <w:numPr>
          <w:ilvl w:val="4"/>
          <w:numId w:val="0"/>
        </w:numPr>
        <w:ind w:leftChars="0" w:firstLine="1120" w:firstLineChars="400"/>
        <w:jc w:val="both"/>
        <w:rPr>
          <w:color w:val="FF0000"/>
        </w:rPr>
      </w:pPr>
      <w:r>
        <w:rPr>
          <w:rFonts w:hint="eastAsia" w:ascii="黑体"/>
          <w:color w:val="000000"/>
        </w:rPr>
        <w:t>202</w:t>
      </w:r>
      <w:r>
        <w:rPr>
          <w:rFonts w:hint="eastAsia" w:ascii="黑体"/>
          <w:color w:val="000000"/>
          <w:lang w:val="en-US" w:eastAsia="zh-CN"/>
        </w:rPr>
        <w:t>3</w:t>
      </w:r>
      <w:r>
        <w:rPr>
          <w:rFonts w:ascii="黑体"/>
          <w:color w:val="000000"/>
        </w:rPr>
        <w:t>-</w:t>
      </w:r>
      <w:r>
        <w:rPr>
          <w:rFonts w:hint="default" w:ascii="黑体"/>
          <w:color w:val="000000"/>
        </w:rPr>
        <w:t>XX</w:t>
      </w:r>
      <w:r>
        <w:rPr>
          <w:rFonts w:ascii="黑体"/>
          <w:color w:val="000000"/>
        </w:rPr>
        <w:t>-</w:t>
      </w:r>
      <w:r>
        <w:rPr>
          <w:rFonts w:hint="default" w:ascii="黑体"/>
          <w:color w:val="000000"/>
        </w:rPr>
        <w:t>XX</w:t>
      </w:r>
      <w:r>
        <w:rPr>
          <w:rFonts w:hint="eastAsia"/>
          <w:color w:val="000000"/>
        </w:rPr>
        <w:t>实施</w:t>
      </w:r>
    </w:p>
    <w:p>
      <w:pPr>
        <w:pStyle w:val="18"/>
        <w:framePr w:w="8070" w:h="405" w:hRule="exact" w:vAnchor="page" w:hAnchor="page" w:x="2115" w:y="14964"/>
        <w:tabs>
          <w:tab w:val="left" w:pos="6582"/>
        </w:tabs>
        <w:jc w:val="both"/>
        <w:rPr>
          <w:sz w:val="28"/>
          <w:szCs w:val="28"/>
        </w:rPr>
      </w:pPr>
      <w:r>
        <w:rPr>
          <w:sz w:val="28"/>
          <w:szCs w:val="28"/>
          <w:u w:val="none"/>
        </w:rPr>
        <w:pict>
          <v:shape id="_x0000_s2050" o:spid="_x0000_s2050" o:spt="136" type="#_x0000_t136" style="position:absolute;left:0pt;margin-left:10.35pt;margin-top:-0.05pt;height:18.05pt;width:308.2pt;z-index:251663360;mso-width-relative:page;mso-height-relative:page;" fillcolor="#000000" filled="t" stroked="t" coordsize="21600,21600" adj="10800">
            <v:path/>
            <v:fill on="t" color2="#FFFFFF" focussize="0,0"/>
            <v:stroke weight="0.25pt"/>
            <v:imagedata o:title=""/>
            <o:lock v:ext="edit" aspectratio="f"/>
            <v:textpath on="t" fitshape="t" fitpath="t" trim="t" xscale="f" string="伊犁哈萨克自治州市场监督管理局 " style="font-family:宋体;font-size:36pt;v-text-align:center;"/>
            <v:shadow on="t" obscured="f" color="#B2B2B2" opacity="52428f" offset="0.000236220472440945pt,0pt" offset2="-2pt,-2pt"/>
          </v:shape>
        </w:pict>
      </w:r>
      <w:r>
        <w:rPr>
          <w:rFonts w:hint="eastAsia"/>
          <w:sz w:val="28"/>
          <w:szCs w:val="28"/>
          <w:u w:val="none"/>
          <w:lang w:eastAsia="zh-CN"/>
        </w:rPr>
        <w:tab/>
      </w:r>
      <w:r>
        <w:rPr>
          <w:rFonts w:hint="eastAsia"/>
          <w:sz w:val="28"/>
          <w:szCs w:val="28"/>
          <w:u w:val="none"/>
          <w:lang w:val="en-US" w:eastAsia="zh-CN"/>
        </w:rPr>
        <w:t>发布</w:t>
      </w:r>
    </w:p>
    <w:p>
      <w:pPr>
        <w:rPr>
          <w:rFonts w:ascii="宋体" w:hAnsi="宋体"/>
          <w:sz w:val="28"/>
          <w:szCs w:val="28"/>
        </w:rPr>
      </w:pPr>
    </w:p>
    <w:p>
      <w:pPr>
        <w:rPr>
          <w:rFonts w:ascii="宋体" w:hAnsi="宋体"/>
          <w:sz w:val="28"/>
          <w:szCs w:val="28"/>
        </w:rPr>
        <w:sectPr>
          <w:footerReference r:id="rId7" w:type="first"/>
          <w:headerReference r:id="rId3" w:type="default"/>
          <w:footerReference r:id="rId5" w:type="default"/>
          <w:headerReference r:id="rId4" w:type="even"/>
          <w:footerReference r:id="rId6" w:type="even"/>
          <w:pgSz w:w="11906" w:h="16838"/>
          <w:pgMar w:top="-338" w:right="1134" w:bottom="1021" w:left="1134" w:header="0" w:footer="0" w:gutter="284"/>
          <w:pgNumType w:fmt="upperRoman" w:start="1"/>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szHPvXAAAADgEAAA8AAAAAAAAAAQAgAAAAIgAAAGRycy9kb3ducmV2LnhtbFBLAQIU&#10;ABQAAAAIAIdO4kC9ycn29AEAAOQDAAAOAAAAAAAAAAEAIAAAACYBAABkcnMvZTJvRG9jLnhtbFBL&#10;BQYAAAAABgAGAFkBAACMBQAAAAA=&#10;">
                <v:fill on="f" focussize="0,0"/>
                <v:stroke color="#000000" joinstyle="round"/>
                <v:imagedata o:title=""/>
                <o:lock v:ext="edit" aspectratio="f"/>
                <w10:anchorlock/>
              </v:line>
            </w:pict>
          </mc:Fallback>
        </mc:AlternateContent>
      </w:r>
    </w:p>
    <w:p>
      <w:pPr>
        <w:rPr>
          <w:rFonts w:hint="eastAsia" w:hAnsi="黑体"/>
        </w:rPr>
      </w:pPr>
    </w:p>
    <w:p>
      <w:pPr>
        <w:rPr>
          <w:rFonts w:hint="eastAsia"/>
          <w:lang w:val="en-US" w:eastAsia="zh-CN"/>
        </w:rPr>
      </w:pPr>
      <w:r>
        <w:rPr>
          <w:rFonts w:hint="eastAsia" w:ascii="宋体" w:hAnsi="宋体"/>
        </w:rPr>
        <w:t xml:space="preserve"> </w:t>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pStyle w:val="13"/>
        <w:rPr>
          <w:rFonts w:hint="eastAsia" w:hAnsi="黑体"/>
        </w:rPr>
      </w:pPr>
      <w:r>
        <w:rPr>
          <w:rFonts w:hint="eastAsia" w:hAnsi="黑体"/>
        </w:rPr>
        <w:t>前</w:t>
      </w:r>
      <w:bookmarkStart w:id="1" w:name="BKQY"/>
      <w:r>
        <w:t>  </w:t>
      </w:r>
      <w:r>
        <w:rPr>
          <w:rFonts w:hint="eastAsia" w:hAnsi="黑体"/>
        </w:rPr>
        <w:t>言</w:t>
      </w:r>
      <w:bookmarkEnd w:id="0"/>
      <w:bookmarkEnd w:id="1"/>
    </w:p>
    <w:p>
      <w:pPr>
        <w:pStyle w:val="14"/>
        <w:ind w:firstLine="420"/>
        <w:rPr>
          <w:rFonts w:hint="eastAsia"/>
        </w:rPr>
      </w:pPr>
    </w:p>
    <w:p>
      <w:pPr>
        <w:pStyle w:val="6"/>
        <w:snapToGrid w:val="0"/>
        <w:spacing w:before="0" w:beforeAutospacing="0" w:after="0" w:afterAutospacing="0" w:line="360" w:lineRule="auto"/>
        <w:ind w:left="-63" w:leftChars="-30" w:firstLine="480" w:firstLineChars="200"/>
        <w:rPr>
          <w:rFonts w:hint="eastAsia"/>
        </w:rPr>
      </w:pPr>
      <w:r>
        <w:rPr>
          <w:rFonts w:hint="eastAsia"/>
        </w:rPr>
        <w:t>本标准依据GB/T1.1-20</w:t>
      </w:r>
      <w:r>
        <w:rPr>
          <w:rFonts w:hint="eastAsia"/>
          <w:lang w:val="en-US" w:eastAsia="zh-CN"/>
        </w:rPr>
        <w:t>2</w:t>
      </w:r>
      <w:r>
        <w:rPr>
          <w:rFonts w:hint="eastAsia"/>
        </w:rPr>
        <w:t>0《标准化工作导则第1部分：标准的结构和编写规则》及DB/T2035.2- 2003《标准化工作导则第2部分：标准化工作导则框架与要求》编写。</w:t>
      </w:r>
    </w:p>
    <w:p>
      <w:pPr>
        <w:pStyle w:val="6"/>
        <w:snapToGrid w:val="0"/>
        <w:spacing w:before="0" w:beforeAutospacing="0" w:after="0" w:afterAutospacing="0" w:line="360" w:lineRule="auto"/>
        <w:ind w:left="-63" w:leftChars="-30" w:firstLine="480" w:firstLineChars="200"/>
        <w:rPr>
          <w:rFonts w:hint="eastAsia"/>
        </w:rPr>
      </w:pPr>
      <w:r>
        <w:rPr>
          <w:rFonts w:hint="eastAsia"/>
        </w:rPr>
        <w:t>本标准由伊犁州农业标准化委员会提出提出。</w:t>
      </w:r>
    </w:p>
    <w:p>
      <w:pPr>
        <w:pStyle w:val="6"/>
        <w:snapToGrid w:val="0"/>
        <w:spacing w:before="0" w:beforeAutospacing="0" w:after="0" w:afterAutospacing="0" w:line="360" w:lineRule="auto"/>
        <w:ind w:left="-63" w:leftChars="-30" w:firstLine="480" w:firstLineChars="200"/>
        <w:rPr>
          <w:rFonts w:hint="eastAsia"/>
        </w:rPr>
      </w:pPr>
      <w:r>
        <w:rPr>
          <w:rFonts w:hint="eastAsia"/>
        </w:rPr>
        <w:t>本标准由伊犁哈萨克自治州质量技术监督局批准。</w:t>
      </w:r>
    </w:p>
    <w:p>
      <w:pPr>
        <w:pStyle w:val="6"/>
        <w:snapToGrid w:val="0"/>
        <w:spacing w:before="0" w:beforeAutospacing="0" w:after="0" w:afterAutospacing="0" w:line="360" w:lineRule="auto"/>
        <w:ind w:left="-63" w:leftChars="-30" w:firstLine="480" w:firstLineChars="200"/>
        <w:rPr>
          <w:rFonts w:hint="eastAsia"/>
        </w:rPr>
      </w:pPr>
      <w:r>
        <w:rPr>
          <w:rFonts w:hint="eastAsia"/>
        </w:rPr>
        <w:t>本标准由伊犁哈萨克自治州农业局归口。</w:t>
      </w:r>
    </w:p>
    <w:p>
      <w:pPr>
        <w:pStyle w:val="6"/>
        <w:snapToGrid w:val="0"/>
        <w:spacing w:before="0" w:beforeAutospacing="0" w:after="0" w:afterAutospacing="0" w:line="360" w:lineRule="auto"/>
        <w:ind w:left="-63" w:leftChars="-30" w:firstLine="480" w:firstLineChars="200"/>
        <w:rPr>
          <w:rFonts w:hint="eastAsia"/>
        </w:rPr>
      </w:pPr>
      <w:r>
        <w:rPr>
          <w:rFonts w:hint="eastAsia"/>
        </w:rPr>
        <w:t>本标准由伊犁</w:t>
      </w:r>
      <w:r>
        <w:rPr>
          <w:rFonts w:hint="eastAsia"/>
          <w:lang w:val="en-US" w:eastAsia="zh-CN"/>
        </w:rPr>
        <w:t>州农业技术推广总站</w:t>
      </w:r>
      <w:r>
        <w:rPr>
          <w:rFonts w:hint="eastAsia"/>
        </w:rPr>
        <w:t>、</w:t>
      </w:r>
      <w:r>
        <w:rPr>
          <w:rFonts w:hint="eastAsia"/>
          <w:lang w:eastAsia="zh-CN"/>
        </w:rPr>
        <w:t>察布查尔县农业技术推广站</w:t>
      </w:r>
      <w:r>
        <w:rPr>
          <w:rFonts w:hint="eastAsia"/>
        </w:rPr>
        <w:t>起草。</w:t>
      </w:r>
    </w:p>
    <w:p>
      <w:pPr>
        <w:pStyle w:val="6"/>
        <w:snapToGrid w:val="0"/>
        <w:spacing w:before="0" w:beforeAutospacing="0" w:after="0" w:afterAutospacing="0" w:line="360" w:lineRule="auto"/>
        <w:ind w:left="-63" w:leftChars="-30" w:firstLine="480" w:firstLineChars="200"/>
        <w:rPr>
          <w:rFonts w:hint="default"/>
          <w:lang w:val="en-US" w:eastAsia="zh-CN"/>
        </w:rPr>
      </w:pPr>
      <w:r>
        <w:rPr>
          <w:rFonts w:hint="eastAsia"/>
        </w:rPr>
        <w:t>本标准起草人：</w:t>
      </w:r>
      <w:r>
        <w:rPr>
          <w:rFonts w:hint="eastAsia"/>
          <w:lang w:eastAsia="zh-CN"/>
        </w:rPr>
        <w:t>付文君、陈蓉、关丽菊、范荣霞、安荣荣、关志坚、刘小龙、张冬梅、迪丽孜拉、曹小妮、刘菲、李荣跃、热哈提布</w:t>
      </w:r>
      <w:r>
        <w:rPr>
          <w:rFonts w:hint="eastAsia"/>
          <w:lang w:val="en-US" w:eastAsia="zh-CN"/>
        </w:rPr>
        <w:t>·沙塔尔、</w:t>
      </w:r>
      <w:r>
        <w:rPr>
          <w:rFonts w:hint="eastAsia"/>
          <w:lang w:eastAsia="zh-CN"/>
        </w:rPr>
        <w:t>沙吾列</w:t>
      </w:r>
      <w:r>
        <w:rPr>
          <w:rFonts w:hint="eastAsia"/>
          <w:lang w:val="en-US" w:eastAsia="zh-CN"/>
        </w:rPr>
        <w:t>·努尔多来提、阿斯艳木</w:t>
      </w:r>
    </w:p>
    <w:p>
      <w:pPr>
        <w:pStyle w:val="6"/>
        <w:snapToGrid w:val="0"/>
        <w:spacing w:before="0" w:beforeAutospacing="0" w:after="0" w:afterAutospacing="0" w:line="360" w:lineRule="auto"/>
        <w:ind w:left="-63" w:leftChars="-30" w:firstLine="480" w:firstLineChars="200"/>
        <w:rPr>
          <w:rFonts w:hint="eastAsia"/>
        </w:rPr>
      </w:pPr>
      <w:r>
        <w:rPr>
          <w:rFonts w:hint="eastAsia"/>
        </w:rPr>
        <w:t>本标准由</w:t>
      </w:r>
      <w:r>
        <w:rPr>
          <w:rFonts w:hint="eastAsia"/>
          <w:lang w:eastAsia="zh-CN"/>
        </w:rPr>
        <w:t>伊犁州农业技术推广总站</w:t>
      </w:r>
      <w:r>
        <w:rPr>
          <w:rFonts w:hint="eastAsia"/>
        </w:rPr>
        <w:t>、</w:t>
      </w:r>
      <w:r>
        <w:rPr>
          <w:rFonts w:hint="eastAsia"/>
          <w:lang w:eastAsia="zh-CN"/>
        </w:rPr>
        <w:t>察布查尔县农业技术推广站</w:t>
      </w:r>
      <w:r>
        <w:rPr>
          <w:rFonts w:hint="eastAsia"/>
        </w:rPr>
        <w:t>负责解释。</w:t>
      </w:r>
    </w:p>
    <w:p>
      <w:pPr>
        <w:pStyle w:val="6"/>
        <w:snapToGrid w:val="0"/>
        <w:spacing w:before="0" w:beforeAutospacing="0" w:after="0" w:afterAutospacing="0" w:line="360" w:lineRule="auto"/>
        <w:ind w:left="-63" w:leftChars="-30" w:firstLine="420" w:firstLineChars="200"/>
        <w:rPr>
          <w:rFonts w:ascii="Times New Roman" w:hAnsi="Times New Roman"/>
          <w:sz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400" w:lineRule="exact"/>
        <w:jc w:val="both"/>
        <w:rPr>
          <w:rFonts w:hint="eastAsia" w:ascii="黑体" w:hAnsi="宋体" w:eastAsia="黑体"/>
          <w:b/>
          <w:color w:val="000000"/>
          <w:sz w:val="28"/>
          <w:szCs w:val="28"/>
        </w:rPr>
      </w:pPr>
    </w:p>
    <w:p>
      <w:pPr>
        <w:spacing w:line="400" w:lineRule="exact"/>
        <w:ind w:firstLine="2811" w:firstLineChars="1000"/>
        <w:jc w:val="both"/>
        <w:rPr>
          <w:rFonts w:hint="eastAsia" w:ascii="黑体" w:hAnsi="宋体" w:eastAsia="黑体"/>
          <w:b/>
          <w:color w:val="000000"/>
          <w:sz w:val="28"/>
          <w:szCs w:val="28"/>
        </w:rPr>
      </w:pPr>
      <w:r>
        <w:rPr>
          <w:rFonts w:hint="eastAsia" w:ascii="黑体" w:hAnsi="宋体" w:eastAsia="黑体"/>
          <w:b/>
          <w:color w:val="000000"/>
          <w:sz w:val="28"/>
          <w:szCs w:val="28"/>
        </w:rPr>
        <w:t>红花</w:t>
      </w:r>
      <w:r>
        <w:rPr>
          <w:rFonts w:hint="eastAsia" w:ascii="黑体" w:hAnsi="宋体" w:eastAsia="黑体"/>
          <w:b/>
          <w:color w:val="000000"/>
          <w:sz w:val="28"/>
          <w:szCs w:val="28"/>
          <w:lang w:eastAsia="zh-CN"/>
        </w:rPr>
        <w:t>错时播种</w:t>
      </w:r>
      <w:r>
        <w:rPr>
          <w:rFonts w:hint="eastAsia" w:ascii="黑体" w:hAnsi="宋体" w:eastAsia="黑体"/>
          <w:b/>
          <w:color w:val="000000"/>
          <w:sz w:val="28"/>
          <w:szCs w:val="28"/>
        </w:rPr>
        <w:t>栽培技术规程</w:t>
      </w:r>
    </w:p>
    <w:p>
      <w:pPr>
        <w:widowControl/>
        <w:snapToGrid w:val="0"/>
        <w:spacing w:line="360" w:lineRule="auto"/>
        <w:jc w:val="left"/>
        <w:rPr>
          <w:rFonts w:hint="eastAsia" w:eastAsia="黑体"/>
          <w:b/>
          <w:color w:val="000000"/>
          <w:kern w:val="0"/>
          <w:szCs w:val="21"/>
        </w:rPr>
      </w:pPr>
    </w:p>
    <w:p>
      <w:pPr>
        <w:widowControl/>
        <w:snapToGrid w:val="0"/>
        <w:spacing w:line="360" w:lineRule="auto"/>
        <w:jc w:val="left"/>
        <w:rPr>
          <w:rFonts w:hint="eastAsia" w:asciiTheme="majorEastAsia" w:hAnsiTheme="majorEastAsia" w:eastAsiaTheme="majorEastAsia" w:cstheme="majorEastAsia"/>
          <w:b/>
          <w:color w:val="000000"/>
          <w:kern w:val="0"/>
          <w:sz w:val="21"/>
          <w:szCs w:val="21"/>
        </w:rPr>
      </w:pPr>
    </w:p>
    <w:p>
      <w:pPr>
        <w:keepNext w:val="0"/>
        <w:keepLines w:val="0"/>
        <w:pageBreakBefore w:val="0"/>
        <w:widowControl/>
        <w:kinsoku/>
        <w:wordWrap/>
        <w:topLinePunct w:val="0"/>
        <w:autoSpaceDE/>
        <w:autoSpaceDN/>
        <w:bidi w:val="0"/>
        <w:snapToGrid w:val="0"/>
        <w:spacing w:line="500" w:lineRule="exact"/>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1 范围</w:t>
      </w:r>
    </w:p>
    <w:p>
      <w:pPr>
        <w:keepNext w:val="0"/>
        <w:keepLines w:val="0"/>
        <w:pageBreakBefore w:val="0"/>
        <w:widowControl/>
        <w:kinsoku/>
        <w:wordWrap/>
        <w:topLinePunct w:val="0"/>
        <w:autoSpaceDE/>
        <w:autoSpaceDN/>
        <w:bidi w:val="0"/>
        <w:snapToGrid w:val="0"/>
        <w:spacing w:line="5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本标准规定了红花栽培的技术指标、产地要求、</w:t>
      </w:r>
      <w:r>
        <w:rPr>
          <w:rFonts w:hint="eastAsia" w:ascii="宋体" w:hAnsi="宋体" w:eastAsia="宋体" w:cs="宋体"/>
          <w:color w:val="000000"/>
          <w:kern w:val="0"/>
          <w:sz w:val="24"/>
          <w:szCs w:val="24"/>
          <w:lang w:eastAsia="zh-CN"/>
        </w:rPr>
        <w:t>错时</w:t>
      </w:r>
      <w:r>
        <w:rPr>
          <w:rFonts w:hint="eastAsia" w:ascii="宋体" w:hAnsi="宋体" w:eastAsia="宋体" w:cs="宋体"/>
          <w:color w:val="000000"/>
          <w:kern w:val="0"/>
          <w:sz w:val="24"/>
          <w:szCs w:val="24"/>
        </w:rPr>
        <w:t>栽培技术和收获的具体要求。</w:t>
      </w:r>
    </w:p>
    <w:p>
      <w:pPr>
        <w:keepNext w:val="0"/>
        <w:keepLines w:val="0"/>
        <w:pageBreakBefore w:val="0"/>
        <w:widowControl/>
        <w:kinsoku/>
        <w:wordWrap/>
        <w:topLinePunct w:val="0"/>
        <w:autoSpaceDE/>
        <w:autoSpaceDN/>
        <w:bidi w:val="0"/>
        <w:snapToGrid w:val="0"/>
        <w:spacing w:line="5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本标准适用于伊犁河谷红花的生产。 </w:t>
      </w:r>
    </w:p>
    <w:p>
      <w:pPr>
        <w:keepNext w:val="0"/>
        <w:keepLines w:val="0"/>
        <w:pageBreakBefore w:val="0"/>
        <w:widowControl/>
        <w:kinsoku/>
        <w:wordWrap/>
        <w:topLinePunct w:val="0"/>
        <w:autoSpaceDE/>
        <w:autoSpaceDN/>
        <w:bidi w:val="0"/>
        <w:snapToGrid w:val="0"/>
        <w:spacing w:line="500" w:lineRule="exact"/>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2 规范性引用文件</w:t>
      </w:r>
    </w:p>
    <w:p>
      <w:pPr>
        <w:keepNext w:val="0"/>
        <w:keepLines w:val="0"/>
        <w:pageBreakBefore w:val="0"/>
        <w:widowControl/>
        <w:kinsoku/>
        <w:wordWrap/>
        <w:topLinePunct w:val="0"/>
        <w:autoSpaceDE/>
        <w:autoSpaceDN/>
        <w:bidi w:val="0"/>
        <w:snapToGrid w:val="0"/>
        <w:spacing w:line="5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下列文件对于本文件的应用是必不可少的。凡是注日期的</w:t>
      </w:r>
      <w:r>
        <w:rPr>
          <w:rFonts w:hint="default" w:ascii="宋体" w:hAnsi="宋体" w:eastAsia="宋体" w:cs="宋体"/>
          <w:color w:val="000000"/>
          <w:kern w:val="0"/>
          <w:sz w:val="24"/>
          <w:szCs w:val="24"/>
          <w:lang w:val="en-US" w:eastAsia="zh-CN"/>
        </w:rPr>
        <w:t>引用文件，仅所注日期的版本适用于本文件。凡是不注日期的 引用文件，其最新版本（包括所有的修改单）适用于本文件。</w:t>
      </w:r>
    </w:p>
    <w:p>
      <w:pPr>
        <w:keepNext w:val="0"/>
        <w:keepLines w:val="0"/>
        <w:pageBreakBefore w:val="0"/>
        <w:widowControl/>
        <w:kinsoku/>
        <w:wordWrap/>
        <w:topLinePunct w:val="0"/>
        <w:autoSpaceDE/>
        <w:autoSpaceDN/>
        <w:bidi w:val="0"/>
        <w:snapToGrid w:val="0"/>
        <w:spacing w:line="50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GB4285 农药安全使用标准。</w:t>
      </w:r>
    </w:p>
    <w:p>
      <w:pPr>
        <w:keepNext w:val="0"/>
        <w:keepLines w:val="0"/>
        <w:pageBreakBefore w:val="0"/>
        <w:kinsoku/>
        <w:wordWrap/>
        <w:topLinePunct w:val="0"/>
        <w:autoSpaceDE/>
        <w:autoSpaceDN/>
        <w:bidi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GB5084 农田灌溉水质标准。</w:t>
      </w:r>
    </w:p>
    <w:p>
      <w:pPr>
        <w:keepNext w:val="0"/>
        <w:keepLines w:val="0"/>
        <w:pageBreakBefore w:val="0"/>
        <w:kinsoku/>
        <w:wordWrap/>
        <w:topLinePunct w:val="0"/>
        <w:autoSpaceDE/>
        <w:autoSpaceDN/>
        <w:bidi w:val="0"/>
        <w:snapToGrid w:val="0"/>
        <w:spacing w:line="50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GB/T8321 农药合理使用准则。</w:t>
      </w:r>
    </w:p>
    <w:p>
      <w:pPr>
        <w:keepNext w:val="0"/>
        <w:keepLines w:val="0"/>
        <w:pageBreakBefore w:val="0"/>
        <w:kinsoku/>
        <w:wordWrap/>
        <w:topLinePunct w:val="0"/>
        <w:autoSpaceDE/>
        <w:autoSpaceDN/>
        <w:bidi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NY/T496 肥料合理使用准则。</w:t>
      </w:r>
    </w:p>
    <w:p>
      <w:pPr>
        <w:keepNext w:val="0"/>
        <w:keepLines w:val="0"/>
        <w:pageBreakBefore w:val="0"/>
        <w:kinsoku/>
        <w:wordWrap/>
        <w:topLinePunct w:val="0"/>
        <w:autoSpaceDE/>
        <w:autoSpaceDN/>
        <w:bidi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GB15618 土壤环境质量标准。</w:t>
      </w:r>
    </w:p>
    <w:p>
      <w:pPr>
        <w:keepNext w:val="0"/>
        <w:keepLines w:val="0"/>
        <w:pageBreakBefore w:val="0"/>
        <w:widowControl/>
        <w:kinsoku/>
        <w:wordWrap/>
        <w:topLinePunct w:val="0"/>
        <w:autoSpaceDE/>
        <w:autoSpaceDN/>
        <w:bidi w:val="0"/>
        <w:snapToGrid w:val="0"/>
        <w:spacing w:line="500" w:lineRule="exact"/>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DB65/T2667种子质量标准。</w:t>
      </w:r>
    </w:p>
    <w:p>
      <w:pPr>
        <w:keepNext w:val="0"/>
        <w:keepLines w:val="0"/>
        <w:pageBreakBefore w:val="0"/>
        <w:widowControl/>
        <w:kinsoku/>
        <w:wordWrap/>
        <w:topLinePunct w:val="0"/>
        <w:autoSpaceDE/>
        <w:autoSpaceDN/>
        <w:bidi w:val="0"/>
        <w:snapToGrid w:val="0"/>
        <w:spacing w:line="500" w:lineRule="exact"/>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GAP中药材生产质量管理规范</w:t>
      </w:r>
    </w:p>
    <w:p>
      <w:pPr>
        <w:keepNext w:val="0"/>
        <w:keepLines w:val="0"/>
        <w:pageBreakBefore w:val="0"/>
        <w:widowControl/>
        <w:kinsoku/>
        <w:wordWrap/>
        <w:topLinePunct w:val="0"/>
        <w:autoSpaceDE/>
        <w:autoSpaceDN/>
        <w:bidi w:val="0"/>
        <w:snapToGrid w:val="0"/>
        <w:spacing w:line="500" w:lineRule="exact"/>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 xml:space="preserve">3 </w:t>
      </w:r>
      <w:r>
        <w:rPr>
          <w:rFonts w:hint="eastAsia" w:ascii="宋体" w:hAnsi="宋体" w:cs="宋体"/>
          <w:b/>
          <w:color w:val="000000"/>
          <w:kern w:val="0"/>
          <w:sz w:val="24"/>
          <w:szCs w:val="24"/>
          <w:lang w:val="en-US" w:eastAsia="zh-CN"/>
        </w:rPr>
        <w:t xml:space="preserve"> </w:t>
      </w:r>
      <w:r>
        <w:rPr>
          <w:rFonts w:hint="eastAsia" w:ascii="宋体" w:hAnsi="宋体" w:eastAsia="宋体" w:cs="宋体"/>
          <w:b/>
          <w:color w:val="000000"/>
          <w:kern w:val="0"/>
          <w:sz w:val="24"/>
          <w:szCs w:val="24"/>
        </w:rPr>
        <w:t>技术指标</w:t>
      </w:r>
    </w:p>
    <w:p>
      <w:pPr>
        <w:keepNext w:val="0"/>
        <w:keepLines w:val="0"/>
        <w:pageBreakBefore w:val="0"/>
        <w:widowControl/>
        <w:kinsoku/>
        <w:wordWrap/>
        <w:topLinePunct w:val="0"/>
        <w:autoSpaceDE/>
        <w:autoSpaceDN/>
        <w:bidi w:val="0"/>
        <w:snapToGrid w:val="0"/>
        <w:spacing w:line="500" w:lineRule="exact"/>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保苗株数：1.5万/667m²-2.0万株/667m²；</w:t>
      </w:r>
    </w:p>
    <w:p>
      <w:pPr>
        <w:keepNext w:val="0"/>
        <w:keepLines w:val="0"/>
        <w:pageBreakBefore w:val="0"/>
        <w:widowControl/>
        <w:kinsoku/>
        <w:wordWrap/>
        <w:topLinePunct w:val="0"/>
        <w:autoSpaceDE/>
        <w:autoSpaceDN/>
        <w:bidi w:val="0"/>
        <w:snapToGrid w:val="0"/>
        <w:spacing w:line="500" w:lineRule="exact"/>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有效果球数：12万/667m²-18万个/667m²；</w:t>
      </w:r>
    </w:p>
    <w:p>
      <w:pPr>
        <w:keepNext w:val="0"/>
        <w:keepLines w:val="0"/>
        <w:pageBreakBefore w:val="0"/>
        <w:widowControl/>
        <w:kinsoku/>
        <w:wordWrap/>
        <w:topLinePunct w:val="0"/>
        <w:autoSpaceDE/>
        <w:autoSpaceDN/>
        <w:bidi w:val="0"/>
        <w:snapToGrid w:val="0"/>
        <w:spacing w:line="500" w:lineRule="exact"/>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干花产量：30kg/667m²-40kg/667m²；</w:t>
      </w:r>
    </w:p>
    <w:p>
      <w:pPr>
        <w:keepNext w:val="0"/>
        <w:keepLines w:val="0"/>
        <w:pageBreakBefore w:val="0"/>
        <w:widowControl/>
        <w:kinsoku/>
        <w:wordWrap/>
        <w:topLinePunct w:val="0"/>
        <w:autoSpaceDE/>
        <w:autoSpaceDN/>
        <w:bidi w:val="0"/>
        <w:snapToGrid w:val="0"/>
        <w:spacing w:line="500" w:lineRule="exact"/>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籽粒产量：80kg/667m²-100kg/667m²。</w:t>
      </w:r>
    </w:p>
    <w:p>
      <w:pPr>
        <w:keepNext w:val="0"/>
        <w:keepLines w:val="0"/>
        <w:pageBreakBefore w:val="0"/>
        <w:widowControl/>
        <w:kinsoku/>
        <w:wordWrap/>
        <w:topLinePunct w:val="0"/>
        <w:autoSpaceDE/>
        <w:autoSpaceDN/>
        <w:bidi w:val="0"/>
        <w:snapToGrid w:val="0"/>
        <w:spacing w:line="500" w:lineRule="exact"/>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4 产地要求</w:t>
      </w:r>
    </w:p>
    <w:p>
      <w:pPr>
        <w:keepNext w:val="0"/>
        <w:keepLines w:val="0"/>
        <w:pageBreakBefore w:val="0"/>
        <w:widowControl/>
        <w:kinsoku/>
        <w:wordWrap/>
        <w:topLinePunct w:val="0"/>
        <w:autoSpaceDE/>
        <w:autoSpaceDN/>
        <w:bidi w:val="0"/>
        <w:snapToGrid w:val="0"/>
        <w:spacing w:line="500" w:lineRule="exact"/>
        <w:jc w:val="left"/>
        <w:textAlignment w:val="auto"/>
        <w:rPr>
          <w:rFonts w:hint="eastAsia" w:ascii="宋体" w:hAnsi="宋体" w:eastAsia="宋体" w:cs="宋体"/>
          <w:color w:val="0000FF"/>
          <w:kern w:val="0"/>
          <w:sz w:val="24"/>
          <w:szCs w:val="24"/>
        </w:rPr>
      </w:pPr>
      <w:r>
        <w:rPr>
          <w:rFonts w:hint="eastAsia" w:ascii="宋体" w:hAnsi="宋体" w:eastAsia="宋体" w:cs="宋体"/>
          <w:b/>
          <w:color w:val="000000"/>
          <w:kern w:val="0"/>
          <w:sz w:val="24"/>
          <w:szCs w:val="24"/>
        </w:rPr>
        <w:t>4.1 环境条件</w:t>
      </w:r>
      <w:r>
        <w:rPr>
          <w:rFonts w:hint="eastAsia" w:ascii="宋体" w:hAnsi="宋体" w:cs="宋体"/>
          <w:b/>
          <w:color w:val="000000"/>
          <w:kern w:val="0"/>
          <w:sz w:val="24"/>
          <w:szCs w:val="24"/>
          <w:lang w:val="en-US" w:eastAsia="zh-CN"/>
        </w:rPr>
        <w:t>。</w:t>
      </w:r>
      <w:r>
        <w:rPr>
          <w:rFonts w:hint="eastAsia" w:ascii="宋体" w:hAnsi="宋体" w:eastAsia="宋体" w:cs="宋体"/>
          <w:color w:val="000000"/>
          <w:kern w:val="0"/>
          <w:sz w:val="24"/>
          <w:szCs w:val="24"/>
        </w:rPr>
        <w:t>应符合中药材GAP的生产要求。</w:t>
      </w:r>
    </w:p>
    <w:p>
      <w:pPr>
        <w:keepNext w:val="0"/>
        <w:keepLines w:val="0"/>
        <w:pageBreakBefore w:val="0"/>
        <w:widowControl/>
        <w:kinsoku/>
        <w:wordWrap/>
        <w:topLinePunct w:val="0"/>
        <w:autoSpaceDE/>
        <w:autoSpaceDN/>
        <w:bidi w:val="0"/>
        <w:snapToGrid w:val="0"/>
        <w:spacing w:line="50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b/>
          <w:color w:val="000000"/>
          <w:kern w:val="0"/>
          <w:sz w:val="24"/>
          <w:szCs w:val="24"/>
        </w:rPr>
        <w:t>4.2 土壤条件</w:t>
      </w:r>
      <w:r>
        <w:rPr>
          <w:rFonts w:hint="eastAsia" w:ascii="宋体" w:hAnsi="宋体" w:cs="宋体"/>
          <w:b/>
          <w:color w:val="000000"/>
          <w:kern w:val="0"/>
          <w:sz w:val="24"/>
          <w:szCs w:val="24"/>
          <w:lang w:eastAsia="zh-CN"/>
        </w:rPr>
        <w:t>。</w:t>
      </w:r>
      <w:r>
        <w:rPr>
          <w:rFonts w:hint="eastAsia" w:ascii="宋体" w:hAnsi="宋体" w:eastAsia="宋体" w:cs="宋体"/>
          <w:color w:val="000000"/>
          <w:kern w:val="0"/>
          <w:sz w:val="24"/>
          <w:szCs w:val="24"/>
        </w:rPr>
        <w:t>选择耕层深厚，结构良好，地面平整，排灌良好</w:t>
      </w:r>
      <w:r>
        <w:rPr>
          <w:rFonts w:hint="eastAsia" w:ascii="宋体" w:hAnsi="宋体" w:eastAsia="宋体" w:cs="宋体"/>
          <w:color w:val="000000"/>
          <w:sz w:val="24"/>
          <w:szCs w:val="24"/>
        </w:rPr>
        <w:t>的沙壤土、灰钙土或轻粘土为宜</w:t>
      </w:r>
      <w:r>
        <w:rPr>
          <w:rFonts w:hint="eastAsia" w:ascii="宋体" w:hAnsi="宋体" w:eastAsia="宋体" w:cs="宋体"/>
          <w:color w:val="000000"/>
          <w:kern w:val="0"/>
          <w:sz w:val="24"/>
          <w:szCs w:val="24"/>
        </w:rPr>
        <w:t>。</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5 </w:t>
      </w:r>
      <w:r>
        <w:rPr>
          <w:rFonts w:hint="eastAsia" w:ascii="宋体" w:hAnsi="宋体" w:cs="宋体"/>
          <w:b/>
          <w:color w:val="000000"/>
          <w:sz w:val="24"/>
          <w:szCs w:val="24"/>
          <w:lang w:val="en-US" w:eastAsia="zh-CN"/>
        </w:rPr>
        <w:t xml:space="preserve"> </w:t>
      </w:r>
      <w:r>
        <w:rPr>
          <w:rFonts w:hint="eastAsia" w:ascii="宋体" w:hAnsi="宋体" w:eastAsia="宋体" w:cs="宋体"/>
          <w:b/>
          <w:color w:val="000000"/>
          <w:sz w:val="24"/>
          <w:szCs w:val="24"/>
        </w:rPr>
        <w:t>栽培技术</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5.1</w:t>
      </w:r>
      <w:r>
        <w:rPr>
          <w:rFonts w:hint="eastAsia" w:ascii="宋体" w:hAnsi="宋体" w:cs="宋体"/>
          <w:b/>
          <w:color w:val="000000"/>
          <w:sz w:val="24"/>
          <w:szCs w:val="24"/>
          <w:lang w:val="en-US" w:eastAsia="zh-CN"/>
        </w:rPr>
        <w:t xml:space="preserve"> </w:t>
      </w:r>
      <w:r>
        <w:rPr>
          <w:rFonts w:hint="eastAsia" w:ascii="宋体" w:hAnsi="宋体" w:eastAsia="宋体" w:cs="宋体"/>
          <w:b/>
          <w:color w:val="000000"/>
          <w:sz w:val="24"/>
          <w:szCs w:val="24"/>
        </w:rPr>
        <w:t>播前准备</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b/>
          <w:bCs/>
          <w:sz w:val="24"/>
          <w:szCs w:val="24"/>
        </w:rPr>
        <w:t>5.1.1整地</w:t>
      </w:r>
      <w:r>
        <w:rPr>
          <w:rFonts w:hint="eastAsia" w:ascii="宋体" w:hAnsi="宋体" w:cs="宋体"/>
          <w:b/>
          <w:bCs/>
          <w:sz w:val="24"/>
          <w:szCs w:val="24"/>
          <w:lang w:eastAsia="zh-CN"/>
        </w:rPr>
        <w:t>。</w:t>
      </w:r>
      <w:r>
        <w:rPr>
          <w:rFonts w:hint="eastAsia" w:ascii="宋体" w:hAnsi="宋体" w:eastAsia="宋体" w:cs="宋体"/>
          <w:color w:val="000000"/>
          <w:kern w:val="0"/>
          <w:sz w:val="24"/>
          <w:szCs w:val="24"/>
          <w:lang w:val="en-US" w:eastAsia="zh-CN"/>
        </w:rPr>
        <w:t>灌溉条件好的以</w:t>
      </w:r>
      <w:r>
        <w:rPr>
          <w:rFonts w:hint="default" w:ascii="宋体" w:hAnsi="宋体" w:eastAsia="宋体" w:cs="宋体"/>
          <w:color w:val="000000"/>
          <w:kern w:val="0"/>
          <w:sz w:val="24"/>
          <w:szCs w:val="24"/>
          <w:lang w:val="en-US" w:eastAsia="zh-CN"/>
        </w:rPr>
        <w:t>播前灌水保墒为主。犁地深度为25</w:t>
      </w:r>
      <w:r>
        <w:rPr>
          <w:rFonts w:hint="eastAsia" w:ascii="宋体" w:hAnsi="宋体" w:eastAsia="宋体" w:cs="宋体"/>
          <w:color w:val="000000"/>
          <w:kern w:val="0"/>
          <w:sz w:val="24"/>
          <w:szCs w:val="24"/>
          <w:lang w:val="en-US" w:eastAsia="zh-CN"/>
        </w:rPr>
        <w:t>cm-</w:t>
      </w:r>
      <w:r>
        <w:rPr>
          <w:rFonts w:hint="default" w:ascii="宋体" w:hAnsi="宋体" w:eastAsia="宋体" w:cs="宋体"/>
          <w:color w:val="000000"/>
          <w:kern w:val="0"/>
          <w:sz w:val="24"/>
          <w:szCs w:val="24"/>
          <w:lang w:val="en-US" w:eastAsia="zh-CN"/>
        </w:rPr>
        <w:t>30cm，保持土壤平整、疏松、墒足、干净。</w:t>
      </w:r>
      <w:r>
        <w:rPr>
          <w:rFonts w:hint="eastAsia" w:ascii="宋体" w:hAnsi="宋体" w:eastAsia="宋体" w:cs="宋体"/>
          <w:color w:val="000000"/>
          <w:kern w:val="0"/>
          <w:sz w:val="24"/>
          <w:szCs w:val="24"/>
          <w:lang w:val="en-US" w:eastAsia="zh-CN"/>
        </w:rPr>
        <w:t>秋翻地用带镇压器旋耕机整地即可，耕深20cm-25cm，整地质量要达到“齐、平、松、碎、净、墒”六字标准。</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b/>
          <w:bCs/>
          <w:sz w:val="24"/>
          <w:szCs w:val="24"/>
        </w:rPr>
        <w:t xml:space="preserve">5.1.2 </w:t>
      </w:r>
      <w:r>
        <w:rPr>
          <w:rFonts w:hint="eastAsia" w:ascii="宋体" w:hAnsi="宋体" w:eastAsia="宋体" w:cs="宋体"/>
          <w:b/>
          <w:color w:val="000000"/>
          <w:sz w:val="24"/>
          <w:szCs w:val="24"/>
        </w:rPr>
        <w:t>施基肥</w:t>
      </w:r>
      <w:r>
        <w:rPr>
          <w:rFonts w:hint="eastAsia" w:ascii="宋体" w:hAnsi="宋体" w:cs="宋体"/>
          <w:b/>
          <w:color w:val="000000"/>
          <w:sz w:val="24"/>
          <w:szCs w:val="24"/>
          <w:lang w:eastAsia="zh-CN"/>
        </w:rPr>
        <w:t>。</w:t>
      </w:r>
      <w:r>
        <w:rPr>
          <w:rFonts w:hint="eastAsia" w:ascii="宋体" w:hAnsi="宋体" w:eastAsia="宋体" w:cs="宋体"/>
          <w:color w:val="000000"/>
          <w:kern w:val="0"/>
          <w:sz w:val="24"/>
          <w:szCs w:val="24"/>
          <w:lang w:val="en-US" w:eastAsia="zh-CN"/>
        </w:rPr>
        <w:t>施肥原则应符合NY/T496的规定，施优质农家肥2t/667m²-3t/667m²，绿肥地可不施农家肥，尿素5kg/667m²-6kg/667m²，磷酸二铵15kg/667m²-20kg/667m²，硫酸钾4kg/667m²-6kg/667m²等相同量的肥料。，结合翻地施入，翻地前均匀地撒于地面。</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lang w:val="en-US" w:eastAsia="zh-CN"/>
        </w:rPr>
        <w:t>5.1.3选用良种</w:t>
      </w:r>
      <w:r>
        <w:rPr>
          <w:rFonts w:hint="eastAsia" w:ascii="宋体" w:hAnsi="宋体" w:eastAsia="宋体" w:cs="宋体"/>
          <w:color w:val="000000"/>
          <w:kern w:val="0"/>
          <w:sz w:val="24"/>
          <w:szCs w:val="24"/>
          <w:lang w:val="en-US" w:eastAsia="zh-CN"/>
        </w:rPr>
        <w:t>。种子质量应符合DB65/T2667</w:t>
      </w:r>
      <w:r>
        <w:rPr>
          <w:rFonts w:hint="default" w:ascii="宋体" w:hAnsi="宋体" w:eastAsia="宋体" w:cs="宋体"/>
          <w:color w:val="000000"/>
          <w:kern w:val="0"/>
          <w:sz w:val="24"/>
          <w:szCs w:val="24"/>
          <w:lang w:val="en-US" w:eastAsia="zh-CN"/>
        </w:rPr>
        <w:t>的要求。</w:t>
      </w:r>
      <w:r>
        <w:rPr>
          <w:rFonts w:hint="eastAsia" w:ascii="宋体" w:hAnsi="宋体" w:eastAsia="宋体" w:cs="宋体"/>
          <w:color w:val="000000"/>
          <w:kern w:val="0"/>
          <w:sz w:val="24"/>
          <w:szCs w:val="24"/>
          <w:lang w:val="en-US" w:eastAsia="zh-CN"/>
        </w:rPr>
        <w:t>选择产量高（干花与籽粒）、抗病性</w:t>
      </w:r>
      <w:r>
        <w:rPr>
          <w:rFonts w:hint="eastAsia" w:ascii="宋体" w:hAnsi="宋体" w:eastAsia="宋体" w:cs="宋体"/>
          <w:color w:val="000000"/>
          <w:kern w:val="0"/>
          <w:sz w:val="24"/>
          <w:szCs w:val="24"/>
        </w:rPr>
        <w:t>强、适应性广优良油花兼用品种种子。如</w:t>
      </w:r>
      <w:r>
        <w:rPr>
          <w:rFonts w:hint="eastAsia" w:ascii="宋体" w:hAnsi="宋体" w:eastAsia="宋体" w:cs="宋体"/>
          <w:color w:val="000000"/>
          <w:kern w:val="0"/>
          <w:sz w:val="24"/>
          <w:szCs w:val="24"/>
          <w:lang w:eastAsia="zh-CN"/>
        </w:rPr>
        <w:t>金红</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rPr>
        <w:t>号</w:t>
      </w:r>
      <w:r>
        <w:rPr>
          <w:rFonts w:hint="eastAsia" w:ascii="宋体" w:hAnsi="宋体" w:eastAsia="宋体" w:cs="宋体"/>
          <w:color w:val="000000"/>
          <w:kern w:val="0"/>
          <w:sz w:val="24"/>
          <w:szCs w:val="24"/>
          <w:lang w:eastAsia="zh-CN"/>
        </w:rPr>
        <w:t>、金红</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rPr>
        <w:t>号</w:t>
      </w:r>
      <w:r>
        <w:rPr>
          <w:rFonts w:hint="eastAsia" w:ascii="宋体" w:hAnsi="宋体" w:eastAsia="宋体" w:cs="宋体"/>
          <w:color w:val="000000"/>
          <w:kern w:val="0"/>
          <w:sz w:val="24"/>
          <w:szCs w:val="24"/>
          <w:lang w:eastAsia="zh-CN"/>
        </w:rPr>
        <w:t>、金红</w:t>
      </w:r>
      <w:r>
        <w:rPr>
          <w:rFonts w:hint="eastAsia" w:ascii="宋体" w:hAnsi="宋体" w:eastAsia="宋体" w:cs="宋体"/>
          <w:color w:val="000000"/>
          <w:kern w:val="0"/>
          <w:sz w:val="24"/>
          <w:szCs w:val="24"/>
          <w:lang w:val="en-US" w:eastAsia="zh-CN"/>
        </w:rPr>
        <w:t>10号</w:t>
      </w:r>
      <w:r>
        <w:rPr>
          <w:rFonts w:hint="eastAsia" w:ascii="宋体" w:hAnsi="宋体" w:eastAsia="宋体" w:cs="宋体"/>
          <w:color w:val="000000"/>
          <w:kern w:val="0"/>
          <w:sz w:val="24"/>
          <w:szCs w:val="24"/>
        </w:rPr>
        <w:t>等。</w:t>
      </w:r>
    </w:p>
    <w:p>
      <w:pPr>
        <w:keepNext w:val="0"/>
        <w:keepLines w:val="0"/>
        <w:pageBreakBefore w:val="0"/>
        <w:widowControl/>
        <w:suppressLineNumbers w:val="0"/>
        <w:kinsoku/>
        <w:wordWrap/>
        <w:overflowPunct/>
        <w:topLinePunct w:val="0"/>
        <w:autoSpaceDE/>
        <w:autoSpaceDN/>
        <w:bidi w:val="0"/>
        <w:adjustRightInd/>
        <w:spacing w:line="500" w:lineRule="exact"/>
        <w:jc w:val="left"/>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color w:val="000000"/>
          <w:sz w:val="24"/>
          <w:szCs w:val="24"/>
        </w:rPr>
        <w:t>5.1.4 种子处理</w:t>
      </w:r>
      <w:r>
        <w:rPr>
          <w:rFonts w:hint="eastAsia" w:ascii="宋体" w:hAnsi="宋体" w:cs="宋体"/>
          <w:b/>
          <w:color w:val="000000"/>
          <w:sz w:val="24"/>
          <w:szCs w:val="24"/>
          <w:lang w:eastAsia="zh-CN"/>
        </w:rPr>
        <w:t>。</w:t>
      </w:r>
      <w:r>
        <w:rPr>
          <w:rFonts w:hint="eastAsia" w:ascii="宋体" w:hAnsi="宋体" w:eastAsia="宋体" w:cs="宋体"/>
          <w:color w:val="000000"/>
          <w:kern w:val="0"/>
          <w:sz w:val="24"/>
          <w:szCs w:val="24"/>
          <w:lang w:val="en-US" w:eastAsia="zh-CN"/>
        </w:rPr>
        <w:t>播种前人工精选种子，去除病、虫、杂粒，选出均匀一致、籽粒饱满的种子。用</w:t>
      </w:r>
      <w:r>
        <w:rPr>
          <w:rFonts w:hint="default" w:ascii="宋体" w:hAnsi="宋体" w:eastAsia="宋体" w:cs="宋体"/>
          <w:color w:val="000000"/>
          <w:kern w:val="0"/>
          <w:sz w:val="24"/>
          <w:szCs w:val="24"/>
          <w:lang w:val="en-US" w:eastAsia="zh-CN"/>
        </w:rPr>
        <w:t>2.5</w:t>
      </w:r>
      <w:r>
        <w:rPr>
          <w:rFonts w:hint="eastAsia" w:ascii="宋体" w:hAnsi="宋体" w:eastAsia="宋体" w:cs="宋体"/>
          <w:color w:val="000000"/>
          <w:kern w:val="0"/>
          <w:sz w:val="24"/>
          <w:szCs w:val="24"/>
          <w:lang w:val="en-US" w:eastAsia="zh-CN"/>
        </w:rPr>
        <w:t>%咯菌腈悬浮种衣剂或</w:t>
      </w:r>
      <w:r>
        <w:rPr>
          <w:rFonts w:hint="default" w:ascii="宋体" w:hAnsi="宋体" w:eastAsia="宋体" w:cs="宋体"/>
          <w:color w:val="000000"/>
          <w:kern w:val="0"/>
          <w:sz w:val="24"/>
          <w:szCs w:val="24"/>
          <w:lang w:val="en-US" w:eastAsia="zh-CN"/>
        </w:rPr>
        <w:t>9%氟环·咯·苯甲悬浮种衣剂200</w:t>
      </w:r>
      <w:r>
        <w:rPr>
          <w:rFonts w:hint="eastAsia" w:ascii="宋体" w:hAnsi="宋体" w:eastAsia="宋体" w:cs="宋体"/>
          <w:color w:val="000000"/>
          <w:kern w:val="0"/>
          <w:sz w:val="24"/>
          <w:szCs w:val="24"/>
          <w:lang w:val="en-US" w:eastAsia="zh-CN"/>
        </w:rPr>
        <w:t>ml/667m²-</w:t>
      </w:r>
      <w:r>
        <w:rPr>
          <w:rFonts w:hint="default" w:ascii="宋体" w:hAnsi="宋体" w:eastAsia="宋体" w:cs="宋体"/>
          <w:color w:val="000000"/>
          <w:kern w:val="0"/>
          <w:sz w:val="24"/>
          <w:szCs w:val="24"/>
          <w:lang w:val="en-US" w:eastAsia="zh-CN"/>
        </w:rPr>
        <w:t>300m</w:t>
      </w:r>
      <w:r>
        <w:rPr>
          <w:rFonts w:hint="eastAsia" w:ascii="宋体" w:hAnsi="宋体" w:eastAsia="宋体" w:cs="宋体"/>
          <w:color w:val="000000"/>
          <w:kern w:val="0"/>
          <w:sz w:val="24"/>
          <w:szCs w:val="24"/>
          <w:lang w:val="en-US" w:eastAsia="zh-CN"/>
        </w:rPr>
        <w:t>l/667m²</w:t>
      </w:r>
      <w:r>
        <w:rPr>
          <w:rFonts w:hint="default" w:ascii="宋体" w:hAnsi="宋体" w:eastAsia="宋体" w:cs="宋体"/>
          <w:color w:val="000000"/>
          <w:kern w:val="0"/>
          <w:sz w:val="24"/>
          <w:szCs w:val="24"/>
          <w:lang w:val="en-US" w:eastAsia="zh-CN"/>
        </w:rPr>
        <w:t>拌种</w:t>
      </w:r>
      <w:r>
        <w:rPr>
          <w:rFonts w:hint="eastAsia" w:ascii="宋体" w:hAnsi="宋体" w:eastAsia="宋体" w:cs="宋体"/>
          <w:color w:val="000000"/>
          <w:kern w:val="0"/>
          <w:sz w:val="24"/>
          <w:szCs w:val="24"/>
          <w:lang w:val="en-US" w:eastAsia="zh-CN"/>
        </w:rPr>
        <w:t>防治种传和土传真</w:t>
      </w:r>
      <w:r>
        <w:rPr>
          <w:rFonts w:hint="default" w:ascii="宋体" w:hAnsi="宋体" w:eastAsia="宋体" w:cs="宋体"/>
          <w:color w:val="000000"/>
          <w:kern w:val="0"/>
          <w:sz w:val="24"/>
          <w:szCs w:val="24"/>
          <w:lang w:val="en-US" w:eastAsia="zh-CN"/>
        </w:rPr>
        <w:t>菌病害</w:t>
      </w:r>
      <w:r>
        <w:rPr>
          <w:rFonts w:hint="eastAsia" w:ascii="宋体" w:hAnsi="宋体" w:eastAsia="宋体" w:cs="宋体"/>
          <w:color w:val="000000"/>
          <w:kern w:val="0"/>
          <w:sz w:val="24"/>
          <w:szCs w:val="24"/>
          <w:lang w:val="en-US" w:eastAsia="zh-CN"/>
        </w:rPr>
        <w:t>；用</w:t>
      </w:r>
      <w:r>
        <w:rPr>
          <w:rFonts w:hint="default" w:ascii="宋体" w:hAnsi="宋体" w:eastAsia="宋体" w:cs="宋体"/>
          <w:color w:val="000000"/>
          <w:kern w:val="0"/>
          <w:sz w:val="24"/>
          <w:szCs w:val="24"/>
          <w:lang w:val="en-US" w:eastAsia="zh-CN"/>
        </w:rPr>
        <w:t>70</w:t>
      </w:r>
      <w:r>
        <w:rPr>
          <w:rFonts w:hint="eastAsia" w:ascii="宋体" w:hAnsi="宋体" w:eastAsia="宋体" w:cs="宋体"/>
          <w:color w:val="000000"/>
          <w:kern w:val="0"/>
          <w:sz w:val="24"/>
          <w:szCs w:val="24"/>
          <w:lang w:val="en-US" w:eastAsia="zh-CN"/>
        </w:rPr>
        <w:t>%噻虫嗪种子处理可分散粉剂</w:t>
      </w:r>
      <w:r>
        <w:rPr>
          <w:rFonts w:hint="default" w:ascii="宋体" w:hAnsi="宋体" w:eastAsia="宋体" w:cs="宋体"/>
          <w:color w:val="000000"/>
          <w:kern w:val="0"/>
          <w:sz w:val="24"/>
          <w:szCs w:val="24"/>
          <w:lang w:val="en-US" w:eastAsia="zh-CN"/>
        </w:rPr>
        <w:t>10</w:t>
      </w:r>
      <w:r>
        <w:rPr>
          <w:rFonts w:hint="eastAsia" w:ascii="宋体" w:hAnsi="宋体" w:eastAsia="宋体" w:cs="宋体"/>
          <w:color w:val="000000"/>
          <w:kern w:val="0"/>
          <w:sz w:val="24"/>
          <w:szCs w:val="24"/>
          <w:lang w:val="en-US" w:eastAsia="zh-CN"/>
        </w:rPr>
        <w:t>ml/667m²-</w:t>
      </w:r>
      <w:r>
        <w:rPr>
          <w:rFonts w:hint="default" w:ascii="宋体" w:hAnsi="宋体" w:eastAsia="宋体" w:cs="宋体"/>
          <w:color w:val="000000"/>
          <w:kern w:val="0"/>
          <w:sz w:val="24"/>
          <w:szCs w:val="24"/>
          <w:lang w:val="en-US" w:eastAsia="zh-CN"/>
        </w:rPr>
        <w:t>20m</w:t>
      </w:r>
      <w:r>
        <w:rPr>
          <w:rFonts w:hint="eastAsia" w:ascii="宋体" w:hAnsi="宋体" w:eastAsia="宋体" w:cs="宋体"/>
          <w:color w:val="000000"/>
          <w:kern w:val="0"/>
          <w:sz w:val="24"/>
          <w:szCs w:val="24"/>
          <w:lang w:val="en-US" w:eastAsia="zh-CN"/>
        </w:rPr>
        <w:t>l/667m²</w:t>
      </w:r>
      <w:r>
        <w:rPr>
          <w:rFonts w:hint="default" w:ascii="宋体" w:hAnsi="宋体" w:eastAsia="宋体" w:cs="宋体"/>
          <w:color w:val="000000"/>
          <w:kern w:val="0"/>
          <w:sz w:val="24"/>
          <w:szCs w:val="24"/>
          <w:lang w:val="en-US" w:eastAsia="zh-CN"/>
        </w:rPr>
        <w:t xml:space="preserve"> 或60%吡虫啉悬浮种衣剂30m</w:t>
      </w:r>
      <w:r>
        <w:rPr>
          <w:rFonts w:hint="eastAsia" w:ascii="宋体" w:hAnsi="宋体" w:eastAsia="宋体" w:cs="宋体"/>
          <w:color w:val="000000"/>
          <w:kern w:val="0"/>
          <w:sz w:val="24"/>
          <w:szCs w:val="24"/>
          <w:lang w:val="en-US" w:eastAsia="zh-CN"/>
        </w:rPr>
        <w:t>l/667m²防治地老虎</w:t>
      </w:r>
      <w:r>
        <w:rPr>
          <w:rFonts w:hint="default" w:ascii="宋体" w:hAnsi="宋体" w:eastAsia="宋体" w:cs="宋体"/>
          <w:color w:val="000000"/>
          <w:kern w:val="0"/>
          <w:sz w:val="24"/>
          <w:szCs w:val="24"/>
          <w:lang w:val="en-US" w:eastAsia="zh-CN"/>
        </w:rPr>
        <w:t>和金针虫</w:t>
      </w:r>
      <w:r>
        <w:rPr>
          <w:rFonts w:hint="eastAsia" w:ascii="宋体" w:hAnsi="宋体" w:eastAsia="宋体" w:cs="宋体"/>
          <w:color w:val="000000"/>
          <w:kern w:val="0"/>
          <w:sz w:val="24"/>
          <w:szCs w:val="24"/>
          <w:lang w:val="en-US" w:eastAsia="zh-CN"/>
        </w:rPr>
        <w:t>。晒种1d-2d</w:t>
      </w:r>
      <w:r>
        <w:rPr>
          <w:rFonts w:hint="eastAsia" w:ascii="宋体" w:hAnsi="宋体" w:eastAsia="宋体" w:cs="宋体"/>
          <w:b/>
          <w:bCs/>
          <w:color w:val="000000"/>
          <w:kern w:val="0"/>
          <w:sz w:val="24"/>
          <w:szCs w:val="24"/>
          <w:lang w:val="en-US" w:eastAsia="zh-CN"/>
        </w:rPr>
        <w:t>。</w:t>
      </w:r>
    </w:p>
    <w:p>
      <w:pPr>
        <w:keepNext w:val="0"/>
        <w:keepLines w:val="0"/>
        <w:pageBreakBefore w:val="0"/>
        <w:tabs>
          <w:tab w:val="left" w:pos="1455"/>
        </w:tabs>
        <w:kinsoku/>
        <w:wordWrap/>
        <w:topLinePunct w:val="0"/>
        <w:autoSpaceDE/>
        <w:autoSpaceDN/>
        <w:bidi w:val="0"/>
        <w:snapToGrid w:val="0"/>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5.2 </w:t>
      </w:r>
      <w:r>
        <w:rPr>
          <w:rFonts w:hint="eastAsia" w:ascii="宋体" w:hAnsi="宋体" w:cs="宋体"/>
          <w:b/>
          <w:color w:val="000000"/>
          <w:sz w:val="24"/>
          <w:szCs w:val="24"/>
          <w:lang w:val="en-US" w:eastAsia="zh-CN"/>
        </w:rPr>
        <w:t xml:space="preserve"> </w:t>
      </w:r>
      <w:r>
        <w:rPr>
          <w:rFonts w:hint="eastAsia" w:ascii="宋体" w:hAnsi="宋体" w:eastAsia="宋体" w:cs="宋体"/>
          <w:b/>
          <w:color w:val="000000"/>
          <w:sz w:val="24"/>
          <w:szCs w:val="24"/>
        </w:rPr>
        <w:t>播种</w:t>
      </w:r>
    </w:p>
    <w:p>
      <w:pPr>
        <w:keepNext w:val="0"/>
        <w:keepLines w:val="0"/>
        <w:pageBreakBefore w:val="0"/>
        <w:tabs>
          <w:tab w:val="left" w:pos="1455"/>
        </w:tabs>
        <w:kinsoku/>
        <w:wordWrap/>
        <w:topLinePunct w:val="0"/>
        <w:autoSpaceDE/>
        <w:autoSpaceDN/>
        <w:bidi w:val="0"/>
        <w:snapToGrid w:val="0"/>
        <w:spacing w:line="5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5.2.1 播种期</w:t>
      </w:r>
      <w:r>
        <w:rPr>
          <w:rFonts w:hint="eastAsia" w:ascii="宋体" w:hAnsi="宋体" w:cs="宋体"/>
          <w:b/>
          <w:color w:val="000000"/>
          <w:sz w:val="24"/>
          <w:szCs w:val="24"/>
          <w:lang w:eastAsia="zh-CN"/>
        </w:rPr>
        <w:t>。</w:t>
      </w:r>
      <w:r>
        <w:rPr>
          <w:rFonts w:hint="eastAsia" w:ascii="宋体" w:hAnsi="宋体" w:eastAsia="宋体" w:cs="宋体"/>
          <w:color w:val="000000"/>
          <w:kern w:val="0"/>
          <w:sz w:val="24"/>
          <w:szCs w:val="24"/>
          <w:lang w:eastAsia="zh-CN"/>
        </w:rPr>
        <w:t>根据不同区域实行冬季播种或春季错时分阶段播种，即</w:t>
      </w:r>
      <w:r>
        <w:rPr>
          <w:rFonts w:hint="eastAsia" w:ascii="宋体" w:hAnsi="宋体" w:eastAsia="宋体" w:cs="宋体"/>
          <w:color w:val="000000"/>
          <w:kern w:val="0"/>
          <w:sz w:val="24"/>
          <w:szCs w:val="24"/>
          <w:lang w:val="en-US" w:eastAsia="zh-CN"/>
        </w:rPr>
        <w:t>10月25</w:t>
      </w:r>
      <w:r>
        <w:rPr>
          <w:rFonts w:hint="eastAsia" w:ascii="宋体" w:hAnsi="宋体" w:cs="宋体"/>
          <w:color w:val="000000"/>
          <w:kern w:val="0"/>
          <w:sz w:val="24"/>
          <w:szCs w:val="24"/>
          <w:lang w:val="en-US" w:eastAsia="zh-CN"/>
        </w:rPr>
        <w:t>日</w:t>
      </w:r>
      <w:r>
        <w:rPr>
          <w:rFonts w:hint="eastAsia" w:ascii="宋体" w:hAnsi="宋体" w:eastAsia="宋体" w:cs="宋体"/>
          <w:color w:val="000000"/>
          <w:kern w:val="0"/>
          <w:sz w:val="24"/>
          <w:szCs w:val="24"/>
          <w:lang w:val="en-US" w:eastAsia="zh-CN"/>
        </w:rPr>
        <w:t>-11月5日，3月15日-3月30日，4月1日-4月15日</w:t>
      </w:r>
      <w:r>
        <w:rPr>
          <w:rFonts w:hint="eastAsia" w:ascii="宋体" w:hAnsi="宋体" w:eastAsia="宋体" w:cs="宋体"/>
          <w:color w:val="000000"/>
          <w:kern w:val="0"/>
          <w:sz w:val="24"/>
          <w:szCs w:val="24"/>
        </w:rPr>
        <w:t>播种。根据墒情适期早播。板结严重地块，避开雨天，防止板结，保障出苗。</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color w:val="000000"/>
          <w:sz w:val="24"/>
          <w:szCs w:val="24"/>
          <w:lang w:val="en-US" w:eastAsia="zh-CN"/>
        </w:rPr>
      </w:pPr>
      <w:r>
        <w:rPr>
          <w:rFonts w:hint="eastAsia" w:ascii="宋体" w:hAnsi="宋体" w:eastAsia="宋体" w:cs="宋体"/>
          <w:b/>
          <w:color w:val="000000"/>
          <w:sz w:val="24"/>
          <w:szCs w:val="24"/>
        </w:rPr>
        <w:t>5.2.2 播种量</w:t>
      </w:r>
      <w:r>
        <w:rPr>
          <w:rFonts w:hint="eastAsia" w:ascii="宋体" w:hAnsi="宋体" w:cs="宋体"/>
          <w:b/>
          <w:color w:val="000000"/>
          <w:sz w:val="24"/>
          <w:szCs w:val="24"/>
          <w:lang w:eastAsia="zh-CN"/>
        </w:rPr>
        <w:t>。</w:t>
      </w:r>
      <w:r>
        <w:rPr>
          <w:rFonts w:hint="eastAsia" w:ascii="宋体" w:hAnsi="宋体" w:eastAsia="宋体" w:cs="宋体"/>
          <w:sz w:val="24"/>
          <w:szCs w:val="24"/>
          <w:lang w:val="en-US" w:eastAsia="zh-CN"/>
        </w:rPr>
        <w:t>600</w:t>
      </w:r>
      <w:r>
        <w:rPr>
          <w:rFonts w:hint="eastAsia" w:ascii="宋体" w:hAnsi="宋体" w:eastAsia="宋体" w:cs="宋体"/>
          <w:sz w:val="24"/>
          <w:szCs w:val="24"/>
        </w:rPr>
        <w:t>g/</w:t>
      </w:r>
      <w:r>
        <w:rPr>
          <w:rFonts w:hint="eastAsia" w:ascii="宋体" w:hAnsi="宋体" w:eastAsia="宋体" w:cs="宋体"/>
          <w:color w:val="000000"/>
          <w:kern w:val="0"/>
          <w:sz w:val="24"/>
          <w:szCs w:val="24"/>
        </w:rPr>
        <w:t>667m</w:t>
      </w:r>
      <w:r>
        <w:rPr>
          <w:rFonts w:hint="eastAsia" w:ascii="宋体" w:hAnsi="宋体" w:eastAsia="宋体" w:cs="宋体"/>
          <w:color w:val="000000"/>
          <w:kern w:val="0"/>
          <w:sz w:val="24"/>
          <w:szCs w:val="24"/>
          <w:vertAlign w:val="superscript"/>
        </w:rPr>
        <w:t>2</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700</w:t>
      </w:r>
      <w:r>
        <w:rPr>
          <w:rFonts w:hint="eastAsia" w:ascii="宋体" w:hAnsi="宋体" w:eastAsia="宋体" w:cs="宋体"/>
          <w:sz w:val="24"/>
          <w:szCs w:val="24"/>
        </w:rPr>
        <w:t>g/</w:t>
      </w:r>
      <w:r>
        <w:rPr>
          <w:rFonts w:hint="eastAsia" w:ascii="宋体" w:hAnsi="宋体" w:eastAsia="宋体" w:cs="宋体"/>
          <w:color w:val="000000"/>
          <w:kern w:val="0"/>
          <w:sz w:val="24"/>
          <w:szCs w:val="24"/>
        </w:rPr>
        <w:t>667m</w:t>
      </w:r>
      <w:r>
        <w:rPr>
          <w:rFonts w:hint="eastAsia" w:ascii="宋体" w:hAnsi="宋体" w:eastAsia="宋体" w:cs="宋体"/>
          <w:color w:val="000000"/>
          <w:kern w:val="0"/>
          <w:sz w:val="24"/>
          <w:szCs w:val="24"/>
          <w:vertAlign w:val="superscript"/>
        </w:rPr>
        <w:t>2</w:t>
      </w:r>
      <w:r>
        <w:rPr>
          <w:rFonts w:hint="eastAsia" w:ascii="宋体" w:hAnsi="宋体" w:eastAsia="宋体" w:cs="宋体"/>
          <w:sz w:val="24"/>
          <w:szCs w:val="24"/>
        </w:rPr>
        <w:t>。</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b/>
          <w:color w:val="000000"/>
          <w:sz w:val="24"/>
          <w:szCs w:val="24"/>
        </w:rPr>
        <w:t>5.2.3 播种方法</w:t>
      </w:r>
      <w:r>
        <w:rPr>
          <w:rFonts w:hint="eastAsia" w:ascii="宋体" w:hAnsi="宋体" w:cs="宋体"/>
          <w:b/>
          <w:color w:val="000000"/>
          <w:sz w:val="24"/>
          <w:szCs w:val="24"/>
          <w:lang w:eastAsia="zh-CN"/>
        </w:rPr>
        <w:t>。</w:t>
      </w:r>
      <w:r>
        <w:rPr>
          <w:rFonts w:hint="eastAsia" w:ascii="宋体" w:hAnsi="宋体" w:eastAsia="宋体" w:cs="宋体"/>
          <w:sz w:val="24"/>
          <w:szCs w:val="24"/>
        </w:rPr>
        <w:t>采用精量气播机，</w:t>
      </w:r>
      <w:r>
        <w:rPr>
          <w:rFonts w:hint="eastAsia" w:ascii="宋体" w:hAnsi="宋体" w:eastAsia="宋体" w:cs="宋体"/>
          <w:color w:val="000000"/>
          <w:kern w:val="0"/>
          <w:sz w:val="24"/>
          <w:szCs w:val="24"/>
          <w:lang w:val="en-US" w:eastAsia="zh-CN"/>
        </w:rPr>
        <w:t>行距30cm-45cm，播深4cm-5cm。</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b/>
          <w:color w:val="000000"/>
          <w:sz w:val="24"/>
          <w:szCs w:val="24"/>
        </w:rPr>
        <w:t>5.2.4 播种质量</w:t>
      </w:r>
      <w:r>
        <w:rPr>
          <w:rFonts w:hint="eastAsia" w:ascii="宋体" w:hAnsi="宋体" w:cs="宋体"/>
          <w:b/>
          <w:color w:val="000000"/>
          <w:sz w:val="24"/>
          <w:szCs w:val="24"/>
          <w:lang w:eastAsia="zh-CN"/>
        </w:rPr>
        <w:t>。</w:t>
      </w:r>
      <w:r>
        <w:rPr>
          <w:rFonts w:hint="eastAsia" w:ascii="宋体" w:hAnsi="宋体" w:eastAsia="宋体" w:cs="宋体"/>
          <w:sz w:val="24"/>
          <w:szCs w:val="24"/>
        </w:rPr>
        <w:t>要求播深一致，下种均匀，播行端直，覆土严密，</w:t>
      </w:r>
      <w:r>
        <w:rPr>
          <w:rFonts w:hint="eastAsia" w:ascii="宋体" w:hAnsi="宋体" w:eastAsia="宋体" w:cs="宋体"/>
          <w:color w:val="000000"/>
          <w:kern w:val="0"/>
          <w:sz w:val="24"/>
          <w:szCs w:val="24"/>
          <w:lang w:val="en-US" w:eastAsia="zh-CN"/>
        </w:rPr>
        <w:t>镇压严实。对大块面积地块，要求当天犁完一块播一块，禁止大面积犁完地再播种。</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b/>
          <w:color w:val="000000"/>
          <w:sz w:val="24"/>
          <w:szCs w:val="24"/>
        </w:rPr>
        <w:t>5.2.5土壤封闭</w:t>
      </w:r>
      <w:r>
        <w:rPr>
          <w:rFonts w:hint="eastAsia" w:ascii="宋体" w:hAnsi="宋体" w:cs="宋体"/>
          <w:b/>
          <w:color w:val="000000"/>
          <w:sz w:val="24"/>
          <w:szCs w:val="24"/>
          <w:lang w:eastAsia="zh-CN"/>
        </w:rPr>
        <w:t>。</w:t>
      </w:r>
      <w:r>
        <w:rPr>
          <w:rFonts w:hint="eastAsia" w:ascii="宋体" w:hAnsi="宋体" w:eastAsia="宋体" w:cs="宋体"/>
          <w:color w:val="000000"/>
          <w:kern w:val="0"/>
          <w:sz w:val="24"/>
          <w:szCs w:val="24"/>
        </w:rPr>
        <w:t>农药使用应符合GB4285、GB/T8321的规定。</w:t>
      </w:r>
      <w:r>
        <w:rPr>
          <w:rFonts w:hint="eastAsia" w:ascii="宋体" w:hAnsi="宋体" w:eastAsia="宋体" w:cs="宋体"/>
          <w:color w:val="000000"/>
          <w:kern w:val="0"/>
          <w:sz w:val="24"/>
          <w:szCs w:val="24"/>
          <w:lang w:val="en-US" w:eastAsia="zh-CN"/>
        </w:rPr>
        <w:t>播种后3d内，使用乙草胺50g/667m²-70g/667m²，兑水40kg-60kg，充分搅拌后，在红花播种后杂草出土前均匀喷洒在土壤表面，地膜覆盖要在压膜前施药。　　</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5.3 </w:t>
      </w:r>
      <w:r>
        <w:rPr>
          <w:rFonts w:hint="eastAsia" w:ascii="宋体" w:hAnsi="宋体" w:cs="宋体"/>
          <w:b/>
          <w:color w:val="000000"/>
          <w:sz w:val="24"/>
          <w:szCs w:val="24"/>
          <w:lang w:val="en-US" w:eastAsia="zh-CN"/>
        </w:rPr>
        <w:t xml:space="preserve"> </w:t>
      </w:r>
      <w:r>
        <w:rPr>
          <w:rFonts w:hint="eastAsia" w:ascii="宋体" w:hAnsi="宋体" w:eastAsia="宋体" w:cs="宋体"/>
          <w:b/>
          <w:color w:val="000000"/>
          <w:sz w:val="24"/>
          <w:szCs w:val="24"/>
        </w:rPr>
        <w:t>田间管理</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b/>
          <w:color w:val="000000"/>
          <w:sz w:val="24"/>
          <w:szCs w:val="24"/>
        </w:rPr>
        <w:t>5.3.1间苗定苗</w:t>
      </w:r>
      <w:r>
        <w:rPr>
          <w:rFonts w:hint="eastAsia" w:ascii="宋体" w:hAnsi="宋体" w:cs="宋体"/>
          <w:b/>
          <w:color w:val="000000"/>
          <w:sz w:val="24"/>
          <w:szCs w:val="24"/>
          <w:lang w:eastAsia="zh-CN"/>
        </w:rPr>
        <w:t>。</w:t>
      </w:r>
      <w:r>
        <w:rPr>
          <w:rFonts w:hint="eastAsia" w:ascii="宋体" w:hAnsi="宋体" w:eastAsia="宋体" w:cs="宋体"/>
          <w:sz w:val="24"/>
          <w:szCs w:val="24"/>
        </w:rPr>
        <w:t>当红花显行后3片</w:t>
      </w:r>
      <w:r>
        <w:rPr>
          <w:rFonts w:hint="eastAsia" w:ascii="宋体" w:hAnsi="宋体" w:cs="宋体"/>
          <w:sz w:val="24"/>
          <w:szCs w:val="24"/>
          <w:lang w:val="en-US" w:eastAsia="zh-CN"/>
        </w:rPr>
        <w:t>-</w:t>
      </w:r>
      <w:r>
        <w:rPr>
          <w:rFonts w:hint="eastAsia" w:ascii="宋体" w:hAnsi="宋体" w:eastAsia="宋体" w:cs="宋体"/>
          <w:sz w:val="24"/>
          <w:szCs w:val="24"/>
        </w:rPr>
        <w:t>4片真叶时间苗，拔</w:t>
      </w:r>
      <w:r>
        <w:rPr>
          <w:rFonts w:hint="eastAsia" w:ascii="宋体" w:hAnsi="宋体" w:cs="宋体"/>
          <w:sz w:val="24"/>
          <w:szCs w:val="24"/>
          <w:lang w:eastAsia="zh-CN"/>
        </w:rPr>
        <w:t>除</w:t>
      </w:r>
      <w:r>
        <w:rPr>
          <w:rFonts w:hint="eastAsia" w:ascii="宋体" w:hAnsi="宋体" w:eastAsia="宋体" w:cs="宋体"/>
          <w:sz w:val="24"/>
          <w:szCs w:val="24"/>
        </w:rPr>
        <w:t>病弱苗，留发</w:t>
      </w:r>
      <w:r>
        <w:rPr>
          <w:rFonts w:hint="eastAsia" w:ascii="宋体" w:hAnsi="宋体" w:cs="宋体"/>
          <w:sz w:val="24"/>
          <w:szCs w:val="24"/>
          <w:lang w:eastAsia="zh-CN"/>
        </w:rPr>
        <w:t>育</w:t>
      </w:r>
      <w:r>
        <w:rPr>
          <w:rFonts w:hint="eastAsia" w:ascii="宋体" w:hAnsi="宋体" w:eastAsia="宋体" w:cs="宋体"/>
          <w:sz w:val="24"/>
          <w:szCs w:val="24"/>
        </w:rPr>
        <w:t>健壮的中等苗，</w:t>
      </w:r>
      <w:r>
        <w:rPr>
          <w:rFonts w:hint="eastAsia" w:ascii="宋体" w:hAnsi="宋体" w:eastAsia="宋体" w:cs="宋体"/>
          <w:color w:val="000000"/>
          <w:kern w:val="0"/>
          <w:sz w:val="24"/>
          <w:szCs w:val="24"/>
          <w:lang w:val="en-US" w:eastAsia="zh-CN"/>
        </w:rPr>
        <w:t>在5片-6 片真叶时定苗，株距10cm-15cm。</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b/>
          <w:bCs/>
          <w:color w:val="000000"/>
          <w:kern w:val="0"/>
          <w:sz w:val="24"/>
          <w:szCs w:val="24"/>
          <w:lang w:val="en-US" w:eastAsia="zh-CN"/>
        </w:rPr>
        <w:t>5.3.2中耕除草</w:t>
      </w:r>
      <w:r>
        <w:rPr>
          <w:rFonts w:hint="eastAsia" w:ascii="宋体" w:hAnsi="宋体" w:eastAsia="宋体" w:cs="宋体"/>
          <w:color w:val="000000"/>
          <w:kern w:val="0"/>
          <w:sz w:val="24"/>
          <w:szCs w:val="24"/>
          <w:lang w:val="en-US" w:eastAsia="zh-CN"/>
        </w:rPr>
        <w:t>。第一次间苗时同时进行首次中耕；第二次5片-6片叶定苗时进行中耕、除草；红花伸长期至分枝期进行第三次中耕，并追肥培土。</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5.3.3水肥管理</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color w:val="000000"/>
          <w:sz w:val="24"/>
          <w:szCs w:val="24"/>
        </w:rPr>
        <w:t>5.3.3.1灌水</w:t>
      </w:r>
      <w:r>
        <w:rPr>
          <w:rFonts w:hint="eastAsia" w:ascii="宋体" w:hAnsi="宋体" w:cs="宋体"/>
          <w:b/>
          <w:color w:val="000000"/>
          <w:sz w:val="24"/>
          <w:szCs w:val="24"/>
          <w:lang w:eastAsia="zh-CN"/>
        </w:rPr>
        <w:t>。</w:t>
      </w:r>
      <w:r>
        <w:rPr>
          <w:rFonts w:hint="eastAsia" w:ascii="宋体" w:hAnsi="宋体" w:eastAsia="宋体" w:cs="宋体"/>
          <w:sz w:val="24"/>
          <w:szCs w:val="24"/>
          <w:lang w:val="en-US" w:eastAsia="zh-CN"/>
        </w:rPr>
        <w:t>全生育期灌水2次-3次，分别在分枝期、现蕾期、终花期，每次灌水60m</w:t>
      </w:r>
      <w:r>
        <w:rPr>
          <w:rFonts w:hint="eastAsia" w:ascii="宋体" w:hAnsi="宋体" w:eastAsia="宋体" w:cs="宋体"/>
          <w:sz w:val="24"/>
          <w:szCs w:val="24"/>
          <w:vertAlign w:val="superscript"/>
          <w:lang w:val="en-US" w:eastAsia="zh-CN"/>
        </w:rPr>
        <w:t>3</w:t>
      </w:r>
      <w:r>
        <w:rPr>
          <w:rFonts w:hint="eastAsia" w:ascii="宋体" w:hAnsi="宋体" w:eastAsia="宋体" w:cs="宋体"/>
          <w:color w:val="000000"/>
          <w:kern w:val="0"/>
          <w:sz w:val="24"/>
          <w:szCs w:val="24"/>
          <w:lang w:val="en-US" w:eastAsia="zh-CN"/>
        </w:rPr>
        <w:t>/667m²</w:t>
      </w:r>
      <w:r>
        <w:rPr>
          <w:rFonts w:hint="eastAsia" w:ascii="宋体" w:hAnsi="宋体" w:cs="宋体"/>
          <w:color w:val="000000"/>
          <w:kern w:val="0"/>
          <w:sz w:val="24"/>
          <w:szCs w:val="24"/>
          <w:lang w:val="en-US" w:eastAsia="zh-CN"/>
        </w:rPr>
        <w:t>-</w:t>
      </w:r>
      <w:r>
        <w:rPr>
          <w:rFonts w:hint="eastAsia" w:ascii="宋体" w:hAnsi="宋体" w:eastAsia="宋体" w:cs="宋体"/>
          <w:sz w:val="24"/>
          <w:szCs w:val="24"/>
          <w:lang w:val="en-US" w:eastAsia="zh-CN"/>
        </w:rPr>
        <w:t>80m</w:t>
      </w:r>
      <w:r>
        <w:rPr>
          <w:rFonts w:hint="eastAsia" w:ascii="宋体" w:hAnsi="宋体" w:eastAsia="宋体" w:cs="宋体"/>
          <w:sz w:val="24"/>
          <w:szCs w:val="24"/>
          <w:vertAlign w:val="superscript"/>
          <w:lang w:val="en-US" w:eastAsia="zh-CN"/>
        </w:rPr>
        <w:t>3</w:t>
      </w:r>
      <w:r>
        <w:rPr>
          <w:rFonts w:hint="eastAsia" w:ascii="宋体" w:hAnsi="宋体" w:eastAsia="宋体" w:cs="宋体"/>
          <w:color w:val="000000"/>
          <w:kern w:val="0"/>
          <w:sz w:val="24"/>
          <w:szCs w:val="24"/>
          <w:lang w:val="en-US" w:eastAsia="zh-CN"/>
        </w:rPr>
        <w:t>/667m²</w:t>
      </w:r>
      <w:r>
        <w:rPr>
          <w:rFonts w:hint="eastAsia" w:ascii="宋体" w:hAnsi="宋体" w:eastAsia="宋体" w:cs="宋体"/>
          <w:sz w:val="24"/>
          <w:szCs w:val="24"/>
          <w:lang w:val="en-US" w:eastAsia="zh-CN"/>
        </w:rPr>
        <w:t xml:space="preserve">。浇水方式采用细流沟灌或隔行沟灌。 </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color w:val="000000"/>
          <w:sz w:val="24"/>
          <w:szCs w:val="24"/>
        </w:rPr>
        <w:t>5.3.3.</w:t>
      </w:r>
      <w:r>
        <w:rPr>
          <w:rFonts w:hint="eastAsia" w:ascii="宋体" w:hAnsi="宋体" w:eastAsia="宋体" w:cs="宋体"/>
          <w:b/>
          <w:color w:val="000000"/>
          <w:sz w:val="24"/>
          <w:szCs w:val="24"/>
          <w:lang w:val="en-US" w:eastAsia="zh-CN"/>
        </w:rPr>
        <w:t>2</w:t>
      </w:r>
      <w:r>
        <w:rPr>
          <w:rFonts w:hint="eastAsia" w:ascii="宋体" w:hAnsi="宋体" w:eastAsia="宋体" w:cs="宋体"/>
          <w:b/>
          <w:color w:val="000000"/>
          <w:sz w:val="24"/>
          <w:szCs w:val="24"/>
        </w:rPr>
        <w:t>追肥</w:t>
      </w:r>
      <w:r>
        <w:rPr>
          <w:rFonts w:hint="eastAsia" w:ascii="宋体" w:hAnsi="宋体" w:cs="宋体"/>
          <w:b/>
          <w:color w:val="000000"/>
          <w:sz w:val="24"/>
          <w:szCs w:val="24"/>
          <w:lang w:eastAsia="zh-CN"/>
        </w:rPr>
        <w:t>。</w:t>
      </w:r>
      <w:r>
        <w:rPr>
          <w:rFonts w:hint="eastAsia" w:ascii="宋体" w:hAnsi="宋体" w:cs="宋体"/>
          <w:b w:val="0"/>
          <w:bCs/>
          <w:color w:val="000000"/>
          <w:sz w:val="24"/>
          <w:szCs w:val="24"/>
          <w:lang w:eastAsia="zh-CN"/>
        </w:rPr>
        <w:t>在</w:t>
      </w:r>
      <w:r>
        <w:rPr>
          <w:rFonts w:hint="eastAsia" w:ascii="宋体" w:hAnsi="宋体" w:eastAsia="宋体" w:cs="宋体"/>
          <w:sz w:val="24"/>
          <w:szCs w:val="24"/>
        </w:rPr>
        <w:t>红花伸长期至分枝期，封行前追肥，追施尿素5kg/</w:t>
      </w:r>
      <w:r>
        <w:rPr>
          <w:rFonts w:hint="eastAsia" w:ascii="宋体" w:hAnsi="宋体" w:eastAsia="宋体" w:cs="宋体"/>
          <w:color w:val="000000"/>
          <w:sz w:val="24"/>
          <w:szCs w:val="24"/>
        </w:rPr>
        <w:t>667m</w:t>
      </w:r>
      <w:r>
        <w:rPr>
          <w:rFonts w:hint="eastAsia" w:ascii="宋体" w:hAnsi="宋体" w:eastAsia="宋体" w:cs="宋体"/>
          <w:color w:val="000000"/>
          <w:sz w:val="24"/>
          <w:szCs w:val="24"/>
          <w:vertAlign w:val="superscript"/>
        </w:rPr>
        <w:t>2</w:t>
      </w:r>
      <w:r>
        <w:rPr>
          <w:rFonts w:hint="eastAsia" w:ascii="宋体" w:hAnsi="宋体" w:cs="宋体"/>
          <w:sz w:val="24"/>
          <w:szCs w:val="24"/>
          <w:lang w:val="en-US" w:eastAsia="zh-CN"/>
        </w:rPr>
        <w:t>-</w:t>
      </w:r>
      <w:r>
        <w:rPr>
          <w:rFonts w:hint="eastAsia" w:ascii="宋体" w:hAnsi="宋体" w:eastAsia="宋体" w:cs="宋体"/>
          <w:sz w:val="24"/>
          <w:szCs w:val="24"/>
        </w:rPr>
        <w:t>6kg/</w:t>
      </w:r>
      <w:r>
        <w:rPr>
          <w:rFonts w:hint="eastAsia" w:ascii="宋体" w:hAnsi="宋体" w:eastAsia="宋体" w:cs="宋体"/>
          <w:color w:val="000000"/>
          <w:kern w:val="0"/>
          <w:sz w:val="24"/>
          <w:szCs w:val="24"/>
        </w:rPr>
        <w:t>667m</w:t>
      </w:r>
      <w:r>
        <w:rPr>
          <w:rFonts w:hint="eastAsia" w:ascii="宋体" w:hAnsi="宋体" w:eastAsia="宋体" w:cs="宋体"/>
          <w:color w:val="000000"/>
          <w:kern w:val="0"/>
          <w:sz w:val="24"/>
          <w:szCs w:val="24"/>
          <w:vertAlign w:val="superscript"/>
        </w:rPr>
        <w:t>2</w:t>
      </w:r>
      <w:r>
        <w:rPr>
          <w:rFonts w:hint="eastAsia" w:ascii="宋体" w:hAnsi="宋体" w:eastAsia="宋体" w:cs="宋体"/>
          <w:sz w:val="24"/>
          <w:szCs w:val="24"/>
          <w:lang w:val="en-US" w:eastAsia="zh-CN"/>
        </w:rPr>
        <w:t>等相同量的肥料。</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5.3.4病虫害防治</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5.3.4.1防治原则</w:t>
      </w:r>
      <w:r>
        <w:rPr>
          <w:rFonts w:hint="eastAsia" w:ascii="宋体" w:hAnsi="宋体" w:cs="宋体"/>
          <w:b/>
          <w:color w:val="000000"/>
          <w:sz w:val="24"/>
          <w:szCs w:val="24"/>
          <w:lang w:eastAsia="zh-CN"/>
        </w:rPr>
        <w:t>。</w:t>
      </w:r>
      <w:r>
        <w:rPr>
          <w:rFonts w:hint="eastAsia" w:ascii="宋体" w:hAnsi="宋体" w:eastAsia="宋体" w:cs="宋体"/>
          <w:color w:val="000000"/>
          <w:sz w:val="24"/>
          <w:szCs w:val="24"/>
        </w:rPr>
        <w:t>按照预防为主、综合防治的植保方针。坚持“以农业防治和生物防治为主，化学防治为辅”的无害化治理原则。</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5.3.4.2防治措施</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5.3.4.2.1防治地下害虫地老虎和金针虫</w:t>
      </w:r>
      <w:r>
        <w:rPr>
          <w:rFonts w:hint="eastAsia" w:ascii="宋体" w:hAnsi="宋体" w:eastAsia="宋体" w:cs="宋体"/>
          <w:sz w:val="24"/>
          <w:szCs w:val="24"/>
          <w:lang w:val="en-US" w:eastAsia="zh-CN"/>
        </w:rPr>
        <w:t>。在幼苗期到蕾期危害，采用毒饵诱杀，可用50%辛硫磷乳油40g</w:t>
      </w:r>
      <w:r>
        <w:rPr>
          <w:rFonts w:hint="eastAsia" w:ascii="宋体" w:hAnsi="宋体" w:eastAsia="宋体" w:cs="宋体"/>
          <w:color w:val="000000"/>
          <w:kern w:val="0"/>
          <w:sz w:val="24"/>
          <w:szCs w:val="24"/>
          <w:lang w:val="en-US" w:eastAsia="zh-CN"/>
        </w:rPr>
        <w:t>/667m²</w:t>
      </w:r>
      <w:r>
        <w:rPr>
          <w:rFonts w:hint="eastAsia" w:ascii="宋体" w:hAnsi="宋体" w:eastAsia="宋体" w:cs="宋体"/>
          <w:sz w:val="24"/>
          <w:szCs w:val="24"/>
          <w:lang w:val="en-US" w:eastAsia="zh-CN"/>
        </w:rPr>
        <w:t>-50g</w:t>
      </w:r>
      <w:r>
        <w:rPr>
          <w:rFonts w:hint="eastAsia" w:ascii="宋体" w:hAnsi="宋体" w:eastAsia="宋体" w:cs="宋体"/>
          <w:color w:val="000000"/>
          <w:kern w:val="0"/>
          <w:sz w:val="24"/>
          <w:szCs w:val="24"/>
          <w:lang w:val="en-US" w:eastAsia="zh-CN"/>
        </w:rPr>
        <w:t>/667m²</w:t>
      </w:r>
      <w:r>
        <w:rPr>
          <w:rFonts w:hint="eastAsia" w:ascii="宋体" w:hAnsi="宋体" w:eastAsia="宋体" w:cs="宋体"/>
          <w:sz w:val="24"/>
          <w:szCs w:val="24"/>
          <w:lang w:val="en-US" w:eastAsia="zh-CN"/>
        </w:rPr>
        <w:t>拌炒香的麦麸，拌匀后傍晚撒施于苗附近进行诱杀。</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5.3.4.2.2防治蚜虫</w:t>
      </w:r>
      <w:r>
        <w:rPr>
          <w:rFonts w:hint="eastAsia" w:ascii="宋体" w:hAnsi="宋体" w:eastAsia="宋体" w:cs="宋体"/>
          <w:sz w:val="24"/>
          <w:szCs w:val="24"/>
          <w:lang w:val="en-US" w:eastAsia="zh-CN"/>
        </w:rPr>
        <w:t>。采用22%氟啶虫胺腈</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"https://baike.baidu.com/item/%E6%82%AC%E6%B5%AE%E5%89%82/884389" \t "https://baike.baidu.com/item/%E6%B0%9F%E5%95%B6%E8%99%AB%E8%83%BA%E8%85%88/_blank"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悬浮剂</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5000倍液-10000倍液，或双丙环虫脂50g/ml可分散液剂8000倍液-10000倍液或5%天然除虫菊素乳油500倍液，或0.3% 印楝素乳油500倍液喷雾。</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5.3.4.2.3防治锈病</w:t>
      </w:r>
      <w:r>
        <w:rPr>
          <w:rFonts w:hint="eastAsia" w:ascii="宋体" w:hAnsi="宋体" w:eastAsia="宋体" w:cs="宋体"/>
          <w:sz w:val="24"/>
          <w:szCs w:val="24"/>
          <w:lang w:val="en-US" w:eastAsia="zh-CN"/>
        </w:rPr>
        <w:t>。发病初期用25%丙环唑乳油10ml</w:t>
      </w:r>
      <w:r>
        <w:rPr>
          <w:rFonts w:hint="eastAsia" w:ascii="宋体" w:hAnsi="宋体" w:eastAsia="宋体" w:cs="宋体"/>
          <w:color w:val="000000"/>
          <w:kern w:val="0"/>
          <w:sz w:val="24"/>
          <w:szCs w:val="24"/>
          <w:lang w:val="en-US" w:eastAsia="zh-CN"/>
        </w:rPr>
        <w:t>/667m²</w:t>
      </w:r>
      <w:r>
        <w:rPr>
          <w:rFonts w:hint="eastAsia" w:ascii="宋体" w:hAnsi="宋体" w:eastAsia="宋体" w:cs="宋体"/>
          <w:sz w:val="24"/>
          <w:szCs w:val="24"/>
          <w:lang w:val="en-US" w:eastAsia="zh-CN"/>
        </w:rPr>
        <w:t>或丙环·嘧菌酯50ml</w:t>
      </w:r>
      <w:r>
        <w:rPr>
          <w:rFonts w:hint="eastAsia" w:ascii="宋体" w:hAnsi="宋体" w:eastAsia="宋体" w:cs="宋体"/>
          <w:color w:val="000000"/>
          <w:kern w:val="0"/>
          <w:sz w:val="24"/>
          <w:szCs w:val="24"/>
          <w:lang w:val="en-US" w:eastAsia="zh-CN"/>
        </w:rPr>
        <w:t>/667m²</w:t>
      </w:r>
      <w:r>
        <w:rPr>
          <w:rFonts w:hint="eastAsia" w:ascii="宋体" w:hAnsi="宋体" w:eastAsia="宋体" w:cs="宋体"/>
          <w:sz w:val="24"/>
          <w:szCs w:val="24"/>
          <w:lang w:val="en-US" w:eastAsia="zh-CN"/>
        </w:rPr>
        <w:t>或19%啶氧·丙环唑SC</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30ml</w:t>
      </w:r>
      <w:r>
        <w:rPr>
          <w:rFonts w:hint="eastAsia" w:ascii="宋体" w:hAnsi="宋体" w:eastAsia="宋体" w:cs="宋体"/>
          <w:color w:val="000000"/>
          <w:kern w:val="0"/>
          <w:sz w:val="24"/>
          <w:szCs w:val="24"/>
          <w:lang w:val="en-US" w:eastAsia="zh-CN"/>
        </w:rPr>
        <w:t>/667m²</w:t>
      </w:r>
      <w:r>
        <w:rPr>
          <w:rFonts w:hint="eastAsia" w:ascii="宋体" w:hAnsi="宋体" w:eastAsia="宋体" w:cs="宋体"/>
          <w:sz w:val="24"/>
          <w:szCs w:val="24"/>
          <w:lang w:val="en-US" w:eastAsia="zh-CN"/>
        </w:rPr>
        <w:t>或 25%丙环唑30ml</w:t>
      </w:r>
      <w:r>
        <w:rPr>
          <w:rFonts w:hint="eastAsia" w:ascii="宋体" w:hAnsi="宋体" w:eastAsia="宋体" w:cs="宋体"/>
          <w:color w:val="000000"/>
          <w:kern w:val="0"/>
          <w:sz w:val="24"/>
          <w:szCs w:val="24"/>
          <w:lang w:val="en-US" w:eastAsia="zh-CN"/>
        </w:rPr>
        <w:t>/667m²</w:t>
      </w:r>
      <w:r>
        <w:rPr>
          <w:rFonts w:hint="eastAsia" w:ascii="宋体" w:hAnsi="宋体" w:eastAsia="宋体" w:cs="宋体"/>
          <w:sz w:val="24"/>
          <w:szCs w:val="24"/>
          <w:lang w:val="en-US" w:eastAsia="zh-CN"/>
        </w:rPr>
        <w:t>加10g-15g展透助剂，对水30kg-50kg喷雾。</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5.3.4.2.4防治根腐病</w:t>
      </w:r>
      <w:r>
        <w:rPr>
          <w:rFonts w:hint="eastAsia" w:ascii="宋体" w:hAnsi="宋体" w:eastAsia="宋体" w:cs="宋体"/>
          <w:sz w:val="24"/>
          <w:szCs w:val="24"/>
          <w:lang w:val="en-US" w:eastAsia="zh-CN"/>
        </w:rPr>
        <w:t>。要求轮作不重茬，保持土壤排水良好；及时拔除病株烧毁，清除田间枯枝落叶及杂草，消灭越冬病原；可用9%氟环·咯·苯甲或2.5%咯菌腈悬浮种衣剂6ml</w:t>
      </w:r>
      <w:r>
        <w:rPr>
          <w:rFonts w:hint="eastAsia" w:ascii="宋体" w:hAnsi="宋体" w:eastAsia="宋体" w:cs="宋体"/>
          <w:color w:val="000000"/>
          <w:kern w:val="0"/>
          <w:sz w:val="24"/>
          <w:szCs w:val="24"/>
          <w:lang w:val="en-US" w:eastAsia="zh-CN"/>
        </w:rPr>
        <w:t>/667m²</w:t>
      </w:r>
      <w:r>
        <w:rPr>
          <w:rFonts w:hint="eastAsia" w:ascii="宋体" w:hAnsi="宋体" w:eastAsia="宋体" w:cs="宋体"/>
          <w:sz w:val="24"/>
          <w:szCs w:val="24"/>
          <w:lang w:val="en-US" w:eastAsia="zh-CN"/>
        </w:rPr>
        <w:t>-8ml</w:t>
      </w:r>
      <w:r>
        <w:rPr>
          <w:rFonts w:hint="eastAsia" w:ascii="宋体" w:hAnsi="宋体" w:eastAsia="宋体" w:cs="宋体"/>
          <w:color w:val="000000"/>
          <w:kern w:val="0"/>
          <w:sz w:val="24"/>
          <w:szCs w:val="24"/>
          <w:lang w:val="en-US" w:eastAsia="zh-CN"/>
        </w:rPr>
        <w:t>/667m²</w:t>
      </w:r>
      <w:r>
        <w:rPr>
          <w:rFonts w:hint="eastAsia" w:ascii="宋体" w:hAnsi="宋体" w:eastAsia="宋体" w:cs="宋体"/>
          <w:sz w:val="24"/>
          <w:szCs w:val="24"/>
          <w:lang w:val="en-US" w:eastAsia="zh-CN"/>
        </w:rPr>
        <w:t>拌1kg种子加益施帮，防根腐病等种传和土传真菌病害。</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6 收获</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color w:val="000000"/>
          <w:sz w:val="24"/>
          <w:szCs w:val="24"/>
        </w:rPr>
        <w:t>6.1花丝采收</w:t>
      </w:r>
      <w:r>
        <w:rPr>
          <w:rFonts w:hint="eastAsia" w:ascii="宋体" w:hAnsi="宋体" w:cs="宋体"/>
          <w:b/>
          <w:color w:val="000000"/>
          <w:sz w:val="24"/>
          <w:szCs w:val="24"/>
          <w:lang w:eastAsia="zh-CN"/>
        </w:rPr>
        <w:t>。</w:t>
      </w:r>
      <w:r>
        <w:rPr>
          <w:rFonts w:hint="eastAsia" w:ascii="宋体" w:hAnsi="宋体" w:eastAsia="宋体" w:cs="宋体"/>
          <w:sz w:val="24"/>
          <w:szCs w:val="24"/>
          <w:lang w:val="en-US" w:eastAsia="zh-CN"/>
        </w:rPr>
        <w:t>在盛花期，田间植株70%-80%开花时，一般在清晨至12时适宜采摘。水浇地一般每2d采一次，采收后红花放在阴凉通风处阴干。</w:t>
      </w: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b/>
          <w:color w:val="000000"/>
          <w:sz w:val="24"/>
          <w:szCs w:val="24"/>
        </w:rPr>
        <w:t>6.2籽粒采收</w:t>
      </w:r>
      <w:r>
        <w:rPr>
          <w:rFonts w:hint="eastAsia" w:ascii="宋体" w:hAnsi="宋体" w:cs="宋体"/>
          <w:b/>
          <w:color w:val="000000"/>
          <w:sz w:val="24"/>
          <w:szCs w:val="24"/>
          <w:lang w:eastAsia="zh-CN"/>
        </w:rPr>
        <w:t>。</w:t>
      </w:r>
      <w:r>
        <w:rPr>
          <w:rFonts w:hint="eastAsia" w:ascii="宋体" w:hAnsi="宋体" w:eastAsia="宋体" w:cs="宋体"/>
          <w:color w:val="000000"/>
          <w:sz w:val="24"/>
          <w:szCs w:val="24"/>
        </w:rPr>
        <w:t>植</w:t>
      </w:r>
      <w:r>
        <w:rPr>
          <w:rFonts w:hint="eastAsia" w:ascii="宋体" w:hAnsi="宋体" w:eastAsia="宋体" w:cs="宋体"/>
          <w:sz w:val="24"/>
          <w:szCs w:val="24"/>
          <w:lang w:val="en-US" w:eastAsia="zh-CN"/>
        </w:rPr>
        <w:t>株叶片变黄色，种子变硬，含水量12%时即可采收，利用普通谷物收割机收获。</w:t>
      </w:r>
    </w:p>
    <w:p>
      <w:pPr>
        <w:keepNext w:val="0"/>
        <w:keepLines w:val="0"/>
        <w:pageBreakBefore w:val="0"/>
        <w:kinsoku/>
        <w:wordWrap/>
        <w:topLinePunct w:val="0"/>
        <w:autoSpaceDE/>
        <w:autoSpaceDN/>
        <w:bidi w:val="0"/>
        <w:snapToGrid w:val="0"/>
        <w:spacing w:line="500" w:lineRule="exact"/>
        <w:ind w:firstLine="4498" w:firstLineChars="1600"/>
        <w:textAlignment w:val="auto"/>
        <w:rPr>
          <w:rFonts w:hint="eastAsia" w:ascii="黑体" w:eastAsia="黑体"/>
          <w:b/>
          <w:sz w:val="28"/>
          <w:szCs w:val="28"/>
        </w:rPr>
      </w:pPr>
      <w:r>
        <w:rPr>
          <w:rFonts w:hint="eastAsia" w:ascii="黑体" w:eastAsia="黑体"/>
          <w:b/>
          <w:sz w:val="28"/>
          <w:szCs w:val="28"/>
        </w:rPr>
        <w:t>附录A</w:t>
      </w:r>
      <w:bookmarkStart w:id="2" w:name="_Toc261606130"/>
      <w:bookmarkStart w:id="3" w:name="_Toc385264830"/>
      <w:bookmarkStart w:id="4" w:name="_Toc261606152"/>
      <w:bookmarkStart w:id="5" w:name="_Toc261607118"/>
    </w:p>
    <w:p>
      <w:pPr>
        <w:spacing w:line="400" w:lineRule="exact"/>
        <w:jc w:val="center"/>
        <w:rPr>
          <w:rFonts w:hint="eastAsia"/>
        </w:rPr>
      </w:pPr>
      <w:r>
        <w:rPr>
          <w:rFonts w:hint="eastAsia"/>
        </w:rPr>
        <w:t>（资料性附录）</w:t>
      </w:r>
    </w:p>
    <w:bookmarkEnd w:id="2"/>
    <w:bookmarkEnd w:id="3"/>
    <w:bookmarkEnd w:id="4"/>
    <w:bookmarkEnd w:id="5"/>
    <w:p>
      <w:pPr>
        <w:keepNext w:val="0"/>
        <w:keepLines w:val="0"/>
        <w:pageBreakBefore w:val="0"/>
        <w:widowControl w:val="0"/>
        <w:kinsoku/>
        <w:wordWrap/>
        <w:overflowPunct/>
        <w:topLinePunct w:val="0"/>
        <w:autoSpaceDE/>
        <w:autoSpaceDN/>
        <w:bidi w:val="0"/>
        <w:adjustRightInd/>
        <w:snapToGrid/>
        <w:spacing w:line="560" w:lineRule="exact"/>
        <w:ind w:firstLine="840" w:firstLineChars="3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红花，菊科，</w:t>
      </w:r>
      <w:r>
        <w:rPr>
          <w:rFonts w:hint="eastAsia" w:ascii="仿宋_GB2312" w:hAnsi="仿宋_GB2312" w:eastAsia="仿宋_GB2312" w:cs="仿宋_GB2312"/>
          <w:sz w:val="28"/>
          <w:szCs w:val="28"/>
        </w:rPr>
        <w:t>双子叶植物，又称草红花</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kern w:val="0"/>
          <w:sz w:val="28"/>
          <w:szCs w:val="28"/>
        </w:rPr>
        <w:t>1年生草本植物</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sz w:val="28"/>
          <w:szCs w:val="28"/>
        </w:rPr>
        <w:t>既是自花授粉作物，又是异花授粉作物</w:t>
      </w:r>
      <w:r>
        <w:rPr>
          <w:rFonts w:hint="eastAsia" w:ascii="仿宋_GB2312" w:hAnsi="仿宋_GB2312" w:eastAsia="仿宋_GB2312" w:cs="仿宋_GB2312"/>
          <w:kern w:val="0"/>
          <w:sz w:val="28"/>
          <w:szCs w:val="28"/>
        </w:rPr>
        <w:t>。</w:t>
      </w:r>
      <w:r>
        <w:rPr>
          <w:rFonts w:hint="eastAsia" w:ascii="仿宋_GB2312" w:hAnsi="仿宋_GB2312" w:eastAsia="仿宋_GB2312" w:cs="仿宋_GB2312"/>
          <w:sz w:val="28"/>
          <w:szCs w:val="28"/>
        </w:rPr>
        <w:t>是一种油、药、饲料、天然色素、染料兼用的经济作物。</w:t>
      </w:r>
      <w:r>
        <w:rPr>
          <w:rFonts w:hint="eastAsia" w:ascii="仿宋_GB2312" w:hAnsi="仿宋_GB2312" w:eastAsia="仿宋_GB2312" w:cs="仿宋_GB2312"/>
          <w:kern w:val="0"/>
          <w:sz w:val="28"/>
          <w:szCs w:val="28"/>
        </w:rPr>
        <w:t>花是药油兼用的经济作物，其花是我国的传统中药，具有活血通经、散瘀止痛、降血压和降血脂的功效，用于治疗痛经、跌打损伤、冠心病、心绞痛和高血压等疾病。红花是喜温长日照作物，抗旱、耐寒、耐盐碱、耐瘠薄</w:t>
      </w:r>
      <w:r>
        <w:rPr>
          <w:rFonts w:hint="eastAsia" w:ascii="仿宋_GB2312" w:hAnsi="仿宋_GB2312" w:eastAsia="仿宋_GB2312" w:cs="仿宋_GB2312"/>
          <w:color w:val="000000"/>
          <w:sz w:val="28"/>
          <w:szCs w:val="28"/>
        </w:rPr>
        <w:t>，是一种投入低、产值高、效益好、市场前景广阔的经济药用作物</w:t>
      </w:r>
      <w:r>
        <w:rPr>
          <w:rFonts w:hint="eastAsia" w:ascii="仿宋_GB2312" w:hAnsi="仿宋_GB2312" w:eastAsia="仿宋_GB2312" w:cs="仿宋_GB2312"/>
          <w:kern w:val="0"/>
          <w:sz w:val="28"/>
          <w:szCs w:val="28"/>
        </w:rPr>
        <w:t>。近年来，</w:t>
      </w:r>
      <w:r>
        <w:rPr>
          <w:rFonts w:hint="eastAsia" w:ascii="仿宋_GB2312" w:hAnsi="仿宋_GB2312" w:eastAsia="仿宋_GB2312" w:cs="仿宋_GB2312"/>
          <w:sz w:val="28"/>
          <w:szCs w:val="28"/>
        </w:rPr>
        <w:t>伊犁州党委、政府也十分重视红花产业的发展，</w:t>
      </w:r>
      <w:r>
        <w:rPr>
          <w:rFonts w:hint="eastAsia" w:ascii="仿宋_GB2312" w:hAnsi="仿宋_GB2312" w:eastAsia="仿宋_GB2312" w:cs="仿宋_GB2312"/>
          <w:kern w:val="0"/>
          <w:sz w:val="28"/>
          <w:szCs w:val="28"/>
        </w:rPr>
        <w:t>2011年霍城县果子沟红花种植基地已成为全疆首家获得国家中药材GAP规范认证的基地。</w:t>
      </w:r>
    </w:p>
    <w:p>
      <w:pPr>
        <w:keepNext w:val="0"/>
        <w:keepLines w:val="0"/>
        <w:pageBreakBefore w:val="0"/>
        <w:widowControl/>
        <w:kinsoku/>
        <w:wordWrap/>
        <w:overflowPunct/>
        <w:topLinePunct w:val="0"/>
        <w:autoSpaceDE/>
        <w:autoSpaceDN/>
        <w:bidi w:val="0"/>
        <w:adjustRightInd/>
        <w:spacing w:line="560" w:lineRule="exact"/>
        <w:ind w:firstLine="562" w:firstLineChars="200"/>
        <w:rPr>
          <w:rFonts w:hint="eastAsia" w:ascii="仿宋" w:hAnsi="仿宋" w:eastAsia="仿宋" w:cs="仿宋"/>
          <w:color w:val="000000"/>
          <w:sz w:val="28"/>
          <w:szCs w:val="28"/>
        </w:rPr>
      </w:pPr>
      <w:r>
        <w:rPr>
          <w:rFonts w:hint="eastAsia" w:ascii="仿宋" w:hAnsi="仿宋" w:eastAsia="仿宋" w:cs="仿宋"/>
          <w:b/>
          <w:bCs/>
          <w:sz w:val="28"/>
          <w:szCs w:val="28"/>
          <w:lang w:val="en-US" w:eastAsia="zh-CN"/>
        </w:rPr>
        <w:t xml:space="preserve">  </w:t>
      </w:r>
      <w:r>
        <w:rPr>
          <w:rFonts w:hint="eastAsia" w:ascii="仿宋" w:hAnsi="仿宋" w:eastAsia="仿宋" w:cs="仿宋"/>
          <w:color w:val="000000"/>
          <w:sz w:val="28"/>
          <w:szCs w:val="28"/>
        </w:rPr>
        <w:t>新疆是我国红花的最大产区，常年种植面积和产量均占全国的70%以上，新疆红花最高种植达100多万亩，主要在伊犁、塔城、昌吉东三县种植。随着红花价格的不断攀升，效益逐年提高，伊犁河谷的红花种植异军突起，</w:t>
      </w:r>
      <w:r>
        <w:rPr>
          <w:rFonts w:hint="eastAsia" w:ascii="仿宋" w:hAnsi="仿宋" w:eastAsia="仿宋" w:cs="仿宋"/>
          <w:color w:val="000000"/>
          <w:sz w:val="28"/>
          <w:szCs w:val="28"/>
          <w:lang w:val="en-US" w:eastAsia="zh-CN"/>
        </w:rPr>
        <w:t>2020年22.32万亩，2021年</w:t>
      </w:r>
      <w:r>
        <w:rPr>
          <w:rFonts w:hint="eastAsia" w:ascii="仿宋_GB2312" w:hAnsi="宋体" w:eastAsia="仿宋_GB2312"/>
          <w:color w:val="000000"/>
          <w:sz w:val="28"/>
          <w:szCs w:val="28"/>
          <w:lang w:val="en-US" w:eastAsia="zh-CN"/>
        </w:rPr>
        <w:t>18.04万亩，2022年18.29万亩，</w:t>
      </w:r>
      <w:r>
        <w:rPr>
          <w:rFonts w:hint="eastAsia" w:ascii="仿宋" w:hAnsi="仿宋" w:eastAsia="仿宋" w:cs="仿宋"/>
          <w:color w:val="000000"/>
          <w:sz w:val="28"/>
          <w:szCs w:val="28"/>
        </w:rPr>
        <w:t>已经成为新疆乃至全国最大的种植区域。开展红花</w:t>
      </w:r>
      <w:r>
        <w:rPr>
          <w:rFonts w:hint="eastAsia" w:ascii="仿宋" w:hAnsi="仿宋" w:eastAsia="仿宋" w:cs="仿宋"/>
          <w:color w:val="000000"/>
          <w:sz w:val="28"/>
          <w:szCs w:val="28"/>
          <w:lang w:val="en-US" w:eastAsia="zh-CN"/>
        </w:rPr>
        <w:t>错时播种技术研究，切实解决劳动力不足和降低人工拾花费用，</w:t>
      </w:r>
      <w:r>
        <w:rPr>
          <w:rFonts w:hint="eastAsia" w:ascii="仿宋" w:hAnsi="仿宋" w:eastAsia="仿宋" w:cs="仿宋"/>
          <w:color w:val="000000"/>
          <w:sz w:val="28"/>
          <w:szCs w:val="28"/>
        </w:rPr>
        <w:t>不断提高</w:t>
      </w:r>
      <w:r>
        <w:rPr>
          <w:rFonts w:hint="eastAsia" w:ascii="仿宋" w:hAnsi="仿宋" w:eastAsia="仿宋" w:cs="仿宋"/>
          <w:color w:val="000000"/>
          <w:sz w:val="28"/>
          <w:szCs w:val="28"/>
          <w:lang w:val="en-US" w:eastAsia="zh-CN"/>
        </w:rPr>
        <w:t>了</w:t>
      </w:r>
      <w:r>
        <w:rPr>
          <w:rFonts w:hint="eastAsia" w:ascii="仿宋" w:hAnsi="仿宋" w:eastAsia="仿宋" w:cs="仿宋"/>
          <w:color w:val="000000"/>
          <w:sz w:val="28"/>
          <w:szCs w:val="28"/>
        </w:rPr>
        <w:t>红花种植效益</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从技术推广效益上分析，可节约拾花成本35元以上。</w:t>
      </w:r>
      <w:r>
        <w:rPr>
          <w:rFonts w:hint="eastAsia" w:ascii="仿宋" w:hAnsi="仿宋" w:eastAsia="仿宋" w:cs="仿宋"/>
          <w:color w:val="000000"/>
          <w:sz w:val="28"/>
          <w:szCs w:val="28"/>
          <w:lang w:eastAsia="zh-CN"/>
        </w:rPr>
        <w:t>现</w:t>
      </w:r>
      <w:r>
        <w:rPr>
          <w:rFonts w:hint="eastAsia" w:ascii="仿宋" w:hAnsi="仿宋" w:eastAsia="仿宋" w:cs="仿宋"/>
          <w:color w:val="000000"/>
          <w:sz w:val="28"/>
          <w:szCs w:val="28"/>
        </w:rPr>
        <w:t>通过</w:t>
      </w:r>
      <w:r>
        <w:rPr>
          <w:rFonts w:hint="eastAsia" w:ascii="仿宋" w:hAnsi="仿宋" w:eastAsia="仿宋" w:cs="仿宋"/>
          <w:color w:val="000000"/>
          <w:sz w:val="28"/>
          <w:szCs w:val="28"/>
          <w:lang w:eastAsia="zh-CN"/>
        </w:rPr>
        <w:t>州直县（市）近年的实践经验</w:t>
      </w:r>
      <w:r>
        <w:rPr>
          <w:rFonts w:hint="eastAsia" w:ascii="仿宋" w:hAnsi="仿宋" w:eastAsia="仿宋" w:cs="仿宋"/>
          <w:color w:val="000000"/>
          <w:sz w:val="28"/>
          <w:szCs w:val="28"/>
        </w:rPr>
        <w:t>，形成一套完整的</w:t>
      </w:r>
      <w:r>
        <w:rPr>
          <w:rFonts w:hint="eastAsia" w:ascii="仿宋" w:hAnsi="仿宋" w:eastAsia="仿宋" w:cs="仿宋"/>
          <w:color w:val="000000"/>
          <w:sz w:val="28"/>
          <w:szCs w:val="28"/>
          <w:lang w:val="en-US" w:eastAsia="zh-CN"/>
        </w:rPr>
        <w:t>红花错时</w:t>
      </w:r>
      <w:r>
        <w:rPr>
          <w:rFonts w:hint="eastAsia" w:ascii="仿宋" w:hAnsi="仿宋" w:eastAsia="仿宋" w:cs="仿宋"/>
          <w:color w:val="000000"/>
          <w:sz w:val="28"/>
          <w:szCs w:val="28"/>
          <w:lang w:eastAsia="zh-CN"/>
        </w:rPr>
        <w:t>高产</w:t>
      </w:r>
      <w:r>
        <w:rPr>
          <w:rFonts w:hint="eastAsia" w:ascii="仿宋" w:hAnsi="仿宋" w:eastAsia="仿宋" w:cs="仿宋"/>
          <w:color w:val="000000"/>
          <w:sz w:val="28"/>
          <w:szCs w:val="28"/>
        </w:rPr>
        <w:t>栽培技术规程，为</w:t>
      </w:r>
      <w:r>
        <w:rPr>
          <w:rFonts w:hint="eastAsia" w:ascii="仿宋" w:hAnsi="仿宋" w:eastAsia="仿宋" w:cs="仿宋"/>
          <w:color w:val="000000"/>
          <w:sz w:val="28"/>
          <w:szCs w:val="28"/>
          <w:lang w:val="en-US" w:eastAsia="zh-CN"/>
        </w:rPr>
        <w:t>伊犁州红花</w:t>
      </w:r>
      <w:r>
        <w:rPr>
          <w:rFonts w:hint="eastAsia" w:ascii="仿宋" w:hAnsi="仿宋" w:eastAsia="仿宋" w:cs="仿宋"/>
          <w:color w:val="000000"/>
          <w:sz w:val="28"/>
          <w:szCs w:val="28"/>
        </w:rPr>
        <w:t>产业规模化</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标准化提供技术支持。</w:t>
      </w:r>
    </w:p>
    <w:p>
      <w:pPr>
        <w:pStyle w:val="11"/>
        <w:keepNext w:val="0"/>
        <w:keepLines w:val="0"/>
        <w:pageBreakBefore w:val="0"/>
        <w:framePr w:w="0" w:hRule="auto" w:wrap="auto" w:vAnchor="margin" w:hAnchor="text" w:xAlign="left" w:yAlign="inline"/>
        <w:kinsoku/>
        <w:wordWrap/>
        <w:overflowPunct/>
        <w:topLinePunct w:val="0"/>
        <w:autoSpaceDE/>
        <w:autoSpaceDN/>
        <w:bidi w:val="0"/>
        <w:adjustRightInd/>
        <w:spacing w:line="560" w:lineRule="exact"/>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 xml:space="preserve"> </w:t>
      </w:r>
    </w:p>
    <w:p>
      <w:pPr>
        <w:pStyle w:val="11"/>
        <w:keepNext w:val="0"/>
        <w:keepLines w:val="0"/>
        <w:pageBreakBefore w:val="0"/>
        <w:framePr w:w="0" w:hRule="auto" w:wrap="auto" w:vAnchor="margin" w:hAnchor="text" w:xAlign="left" w:yAlign="inline"/>
        <w:kinsoku/>
        <w:wordWrap/>
        <w:overflowPunct/>
        <w:topLinePunct w:val="0"/>
        <w:autoSpaceDE/>
        <w:autoSpaceDN/>
        <w:bidi w:val="0"/>
        <w:adjustRightInd/>
        <w:spacing w:line="560" w:lineRule="exact"/>
        <w:rPr>
          <w:rFonts w:hint="eastAsia" w:ascii="仿宋" w:hAnsi="仿宋" w:eastAsia="仿宋" w:cs="仿宋"/>
          <w:b/>
          <w:bCs/>
          <w:sz w:val="28"/>
          <w:szCs w:val="28"/>
        </w:rPr>
      </w:pPr>
    </w:p>
    <w:p>
      <w:pPr>
        <w:pStyle w:val="11"/>
        <w:keepNext w:val="0"/>
        <w:keepLines w:val="0"/>
        <w:pageBreakBefore w:val="0"/>
        <w:framePr w:w="0" w:hRule="auto" w:wrap="auto" w:vAnchor="margin" w:hAnchor="text" w:xAlign="left" w:yAlign="inline"/>
        <w:kinsoku/>
        <w:wordWrap/>
        <w:overflowPunct/>
        <w:topLinePunct w:val="0"/>
        <w:autoSpaceDE/>
        <w:autoSpaceDN/>
        <w:bidi w:val="0"/>
        <w:adjustRightInd/>
        <w:spacing w:line="560" w:lineRule="exact"/>
        <w:rPr>
          <w:rFonts w:hint="eastAsia" w:ascii="仿宋" w:hAnsi="仿宋" w:eastAsia="仿宋" w:cs="仿宋"/>
          <w:b/>
          <w:bCs/>
          <w:sz w:val="28"/>
          <w:szCs w:val="28"/>
        </w:rPr>
      </w:pPr>
    </w:p>
    <w:p>
      <w:pPr>
        <w:pStyle w:val="11"/>
        <w:keepNext w:val="0"/>
        <w:keepLines w:val="0"/>
        <w:pageBreakBefore w:val="0"/>
        <w:framePr w:w="0" w:hRule="auto" w:wrap="auto" w:vAnchor="margin" w:hAnchor="text" w:xAlign="left" w:yAlign="inline"/>
        <w:kinsoku/>
        <w:wordWrap/>
        <w:overflowPunct/>
        <w:topLinePunct w:val="0"/>
        <w:autoSpaceDE/>
        <w:autoSpaceDN/>
        <w:bidi w:val="0"/>
        <w:adjustRightInd/>
        <w:spacing w:line="560" w:lineRule="exact"/>
        <w:rPr>
          <w:rFonts w:hint="eastAsia" w:ascii="仿宋" w:hAnsi="仿宋" w:eastAsia="仿宋" w:cs="仿宋"/>
          <w:b/>
          <w:bCs/>
          <w:sz w:val="28"/>
          <w:szCs w:val="28"/>
        </w:rPr>
      </w:pPr>
    </w:p>
    <w:p>
      <w:pPr>
        <w:pStyle w:val="11"/>
        <w:keepNext w:val="0"/>
        <w:keepLines w:val="0"/>
        <w:pageBreakBefore w:val="0"/>
        <w:framePr w:w="0" w:hRule="auto" w:wrap="auto" w:vAnchor="margin" w:hAnchor="text" w:xAlign="left" w:yAlign="inline"/>
        <w:kinsoku/>
        <w:wordWrap/>
        <w:overflowPunct/>
        <w:topLinePunct w:val="0"/>
        <w:autoSpaceDE/>
        <w:autoSpaceDN/>
        <w:bidi w:val="0"/>
        <w:adjustRightInd/>
        <w:spacing w:line="560" w:lineRule="exact"/>
        <w:rPr>
          <w:rFonts w:hint="eastAsia" w:ascii="仿宋" w:hAnsi="仿宋" w:eastAsia="仿宋" w:cs="仿宋"/>
          <w:b/>
          <w:bCs/>
          <w:sz w:val="28"/>
          <w:szCs w:val="28"/>
        </w:rPr>
      </w:pPr>
    </w:p>
    <w:p>
      <w:pPr>
        <w:pStyle w:val="11"/>
        <w:keepNext w:val="0"/>
        <w:keepLines w:val="0"/>
        <w:pageBreakBefore w:val="0"/>
        <w:framePr w:w="0" w:hRule="auto" w:wrap="auto" w:vAnchor="margin" w:hAnchor="text" w:xAlign="left" w:yAlign="inline"/>
        <w:kinsoku/>
        <w:wordWrap/>
        <w:overflowPunct/>
        <w:topLinePunct w:val="0"/>
        <w:autoSpaceDE/>
        <w:autoSpaceDN/>
        <w:bidi w:val="0"/>
        <w:adjustRightInd/>
        <w:spacing w:line="560" w:lineRule="exact"/>
        <w:rPr>
          <w:rFonts w:hint="eastAsia"/>
          <w:b/>
          <w:bCs/>
          <w:sz w:val="32"/>
          <w:szCs w:val="32"/>
        </w:rPr>
      </w:pPr>
      <w:r>
        <w:rPr>
          <w:rFonts w:hint="eastAsia"/>
          <w:b/>
          <w:bCs/>
          <w:sz w:val="32"/>
          <w:szCs w:val="32"/>
        </w:rPr>
        <w:t>编 制 说 明</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716" w:firstLineChars="256"/>
        <w:jc w:val="both"/>
        <w:textAlignment w:val="auto"/>
        <w:outlineLvl w:val="9"/>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该规程依托自治区劳模工匠人才工作室经费和察布查尔县特培项目经费，在伊宁县和察布查尔县开展红花</w:t>
      </w:r>
      <w:r>
        <w:rPr>
          <w:rFonts w:hint="eastAsia" w:ascii="仿宋" w:hAnsi="仿宋" w:eastAsia="仿宋" w:cs="仿宋"/>
          <w:color w:val="000000"/>
          <w:sz w:val="28"/>
          <w:szCs w:val="28"/>
          <w:lang w:val="en-US" w:eastAsia="zh-CN"/>
        </w:rPr>
        <w:t>错时播种</w:t>
      </w:r>
      <w:r>
        <w:rPr>
          <w:rFonts w:hint="eastAsia" w:ascii="仿宋" w:hAnsi="仿宋" w:eastAsia="仿宋" w:cs="仿宋"/>
          <w:color w:val="000000"/>
          <w:sz w:val="28"/>
          <w:szCs w:val="28"/>
          <w:lang w:eastAsia="zh-CN"/>
        </w:rPr>
        <w:t>栽培技术示范区，做到有计划、有重点、有步骤的加以推进。成立领导小组和技术专家组，建立合作机制，发挥各自优势，加强技术指导，统一研究和协调解决示范推广中遇到的困难和问题。为确保红花高产创建活动取得成效。</w:t>
      </w:r>
    </w:p>
    <w:p>
      <w:pPr>
        <w:keepNext w:val="0"/>
        <w:keepLines w:val="0"/>
        <w:pageBreakBefore w:val="0"/>
        <w:kinsoku/>
        <w:wordWrap/>
        <w:overflowPunct/>
        <w:topLinePunct w:val="0"/>
        <w:autoSpaceDE/>
        <w:autoSpaceDN/>
        <w:bidi w:val="0"/>
        <w:adjustRightInd/>
        <w:spacing w:line="560" w:lineRule="exact"/>
        <w:ind w:firstLine="560" w:firstLineChars="200"/>
        <w:jc w:val="both"/>
        <w:rPr>
          <w:rFonts w:hint="eastAsia" w:ascii="仿宋" w:hAnsi="仿宋" w:eastAsia="仿宋" w:cs="仿宋"/>
          <w:sz w:val="28"/>
          <w:szCs w:val="28"/>
          <w:lang w:eastAsia="zh-CN"/>
        </w:rPr>
      </w:pP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结合国家相关技术标准的规定与要求，</w:t>
      </w:r>
      <w:r>
        <w:rPr>
          <w:rFonts w:hint="eastAsia" w:ascii="仿宋" w:hAnsi="仿宋" w:eastAsia="仿宋" w:cs="仿宋"/>
          <w:sz w:val="28"/>
          <w:szCs w:val="28"/>
        </w:rPr>
        <w:t>遵循标准制定过程中的科学性、先进性、经济性和适用性的原则，</w:t>
      </w:r>
      <w:r>
        <w:rPr>
          <w:rFonts w:hint="eastAsia" w:ascii="仿宋" w:hAnsi="仿宋" w:eastAsia="仿宋" w:cs="仿宋"/>
          <w:color w:val="000000"/>
          <w:kern w:val="0"/>
          <w:sz w:val="28"/>
          <w:szCs w:val="28"/>
        </w:rPr>
        <w:t>依</w:t>
      </w:r>
      <w:r>
        <w:rPr>
          <w:rFonts w:hint="eastAsia" w:ascii="仿宋" w:hAnsi="仿宋" w:eastAsia="仿宋" w:cs="仿宋"/>
          <w:kern w:val="0"/>
          <w:sz w:val="28"/>
          <w:szCs w:val="28"/>
        </w:rPr>
        <w:t>据伊犁河谷</w:t>
      </w:r>
      <w:r>
        <w:rPr>
          <w:rFonts w:hint="eastAsia" w:ascii="仿宋" w:hAnsi="仿宋" w:eastAsia="仿宋" w:cs="仿宋"/>
          <w:kern w:val="0"/>
          <w:sz w:val="28"/>
          <w:szCs w:val="28"/>
          <w:lang w:eastAsia="zh-CN"/>
        </w:rPr>
        <w:t>红花</w:t>
      </w:r>
      <w:r>
        <w:rPr>
          <w:rFonts w:hint="eastAsia" w:ascii="仿宋" w:hAnsi="仿宋" w:eastAsia="仿宋" w:cs="仿宋"/>
          <w:kern w:val="0"/>
          <w:sz w:val="28"/>
          <w:szCs w:val="28"/>
        </w:rPr>
        <w:t>生产条件，伊犁州农业技术推广总站、</w:t>
      </w:r>
      <w:r>
        <w:rPr>
          <w:rFonts w:hint="eastAsia" w:ascii="仿宋" w:hAnsi="仿宋" w:eastAsia="仿宋" w:cs="仿宋"/>
          <w:sz w:val="28"/>
          <w:szCs w:val="28"/>
          <w:lang w:eastAsia="zh-CN"/>
        </w:rPr>
        <w:t>察布查尔县农业技术推广站</w:t>
      </w:r>
      <w:r>
        <w:rPr>
          <w:rFonts w:hint="eastAsia" w:ascii="仿宋" w:hAnsi="仿宋" w:eastAsia="仿宋" w:cs="仿宋"/>
          <w:kern w:val="0"/>
          <w:sz w:val="28"/>
          <w:szCs w:val="28"/>
        </w:rPr>
        <w:t>等单位组织人员按照GB/T1.1-20</w:t>
      </w:r>
      <w:r>
        <w:rPr>
          <w:rFonts w:hint="eastAsia" w:ascii="仿宋" w:hAnsi="仿宋" w:eastAsia="仿宋" w:cs="仿宋"/>
          <w:kern w:val="0"/>
          <w:sz w:val="28"/>
          <w:szCs w:val="28"/>
          <w:lang w:val="en-US" w:eastAsia="zh-CN"/>
        </w:rPr>
        <w:t>20</w:t>
      </w:r>
      <w:r>
        <w:rPr>
          <w:rFonts w:hint="eastAsia" w:ascii="仿宋" w:hAnsi="仿宋" w:eastAsia="仿宋" w:cs="仿宋"/>
          <w:kern w:val="0"/>
          <w:sz w:val="28"/>
          <w:szCs w:val="28"/>
        </w:rPr>
        <w:t>《标准化工作导则第1部分：标准的结构和编写规则》要求和对</w:t>
      </w:r>
      <w:r>
        <w:rPr>
          <w:rFonts w:hint="eastAsia" w:ascii="仿宋" w:hAnsi="仿宋" w:eastAsia="仿宋" w:cs="仿宋"/>
          <w:kern w:val="0"/>
          <w:sz w:val="28"/>
          <w:szCs w:val="28"/>
          <w:lang w:eastAsia="zh-CN"/>
        </w:rPr>
        <w:t>红花措施栽培技</w:t>
      </w:r>
      <w:r>
        <w:rPr>
          <w:rFonts w:hint="eastAsia" w:ascii="仿宋" w:hAnsi="仿宋" w:eastAsia="仿宋" w:cs="仿宋"/>
          <w:sz w:val="28"/>
          <w:szCs w:val="28"/>
          <w:lang w:eastAsia="zh-CN"/>
        </w:rPr>
        <w:t>术的防控实践，制定了《红花错时播种栽培技术规程》，对红花措施栽培技术的术语定义、综合防治等提出了具体的要求。</w:t>
      </w:r>
    </w:p>
    <w:p>
      <w:pPr>
        <w:keepNext w:val="0"/>
        <w:keepLines w:val="0"/>
        <w:pageBreakBefore w:val="0"/>
        <w:kinsoku/>
        <w:wordWrap/>
        <w:overflowPunct/>
        <w:topLinePunct w:val="0"/>
        <w:autoSpaceDE/>
        <w:autoSpaceDN/>
        <w:bidi w:val="0"/>
        <w:adjustRightInd/>
        <w:spacing w:line="560" w:lineRule="exact"/>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该标准在制订过程中未出现重大意见分歧。</w:t>
      </w:r>
    </w:p>
    <w:p>
      <w:pPr>
        <w:keepNext w:val="0"/>
        <w:keepLines w:val="0"/>
        <w:pageBreakBefore w:val="0"/>
        <w:kinsoku/>
        <w:wordWrap/>
        <w:overflowPunct/>
        <w:topLinePunct w:val="0"/>
        <w:autoSpaceDE/>
        <w:autoSpaceDN/>
        <w:bidi w:val="0"/>
        <w:adjustRightInd/>
        <w:spacing w:line="560" w:lineRule="exact"/>
        <w:ind w:firstLine="560" w:firstLineChars="200"/>
        <w:jc w:val="both"/>
        <w:rPr>
          <w:rFonts w:hint="eastAsia" w:ascii="仿宋" w:hAnsi="仿宋" w:eastAsia="仿宋" w:cs="仿宋"/>
          <w:color w:val="000000"/>
          <w:sz w:val="28"/>
          <w:szCs w:val="28"/>
        </w:rPr>
      </w:pPr>
      <w:r>
        <w:rPr>
          <w:rFonts w:hint="eastAsia" w:ascii="仿宋" w:hAnsi="仿宋" w:eastAsia="仿宋" w:cs="仿宋"/>
          <w:sz w:val="28"/>
          <w:szCs w:val="28"/>
          <w:lang w:eastAsia="zh-CN"/>
        </w:rPr>
        <w:t>该标准的制订发布，便于指导伊犁州红花规范化、标准化的综合防控，</w:t>
      </w:r>
      <w:r>
        <w:rPr>
          <w:rFonts w:hint="eastAsia" w:ascii="仿宋" w:hAnsi="仿宋" w:eastAsia="仿宋" w:cs="仿宋"/>
          <w:color w:val="000000"/>
          <w:sz w:val="28"/>
          <w:szCs w:val="28"/>
        </w:rPr>
        <w:t>形成一套完整的</w:t>
      </w:r>
      <w:r>
        <w:rPr>
          <w:rFonts w:hint="eastAsia" w:ascii="仿宋" w:hAnsi="仿宋" w:eastAsia="仿宋" w:cs="仿宋"/>
          <w:color w:val="000000"/>
          <w:sz w:val="28"/>
          <w:szCs w:val="28"/>
          <w:lang w:val="en-US" w:eastAsia="zh-CN"/>
        </w:rPr>
        <w:t>红花错时</w:t>
      </w:r>
      <w:r>
        <w:rPr>
          <w:rFonts w:hint="eastAsia" w:ascii="仿宋" w:hAnsi="仿宋" w:eastAsia="仿宋" w:cs="仿宋"/>
          <w:color w:val="000000"/>
          <w:sz w:val="28"/>
          <w:szCs w:val="28"/>
          <w:lang w:eastAsia="zh-CN"/>
        </w:rPr>
        <w:t>高产</w:t>
      </w:r>
      <w:r>
        <w:rPr>
          <w:rFonts w:hint="eastAsia" w:ascii="仿宋" w:hAnsi="仿宋" w:eastAsia="仿宋" w:cs="仿宋"/>
          <w:color w:val="000000"/>
          <w:sz w:val="28"/>
          <w:szCs w:val="28"/>
        </w:rPr>
        <w:t>栽培技术规程，为</w:t>
      </w:r>
      <w:r>
        <w:rPr>
          <w:rFonts w:hint="eastAsia" w:ascii="仿宋" w:hAnsi="仿宋" w:eastAsia="仿宋" w:cs="仿宋"/>
          <w:color w:val="000000"/>
          <w:sz w:val="28"/>
          <w:szCs w:val="28"/>
          <w:lang w:val="en-US" w:eastAsia="zh-CN"/>
        </w:rPr>
        <w:t>伊犁州红花</w:t>
      </w:r>
      <w:r>
        <w:rPr>
          <w:rFonts w:hint="eastAsia" w:ascii="仿宋" w:hAnsi="仿宋" w:eastAsia="仿宋" w:cs="仿宋"/>
          <w:color w:val="000000"/>
          <w:sz w:val="28"/>
          <w:szCs w:val="28"/>
        </w:rPr>
        <w:t>产业规模化</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标准化提供技术支持。</w:t>
      </w:r>
    </w:p>
    <w:p>
      <w:pPr>
        <w:keepNext w:val="0"/>
        <w:keepLines w:val="0"/>
        <w:pageBreakBefore w:val="0"/>
        <w:kinsoku/>
        <w:wordWrap/>
        <w:overflowPunct/>
        <w:topLinePunct w:val="0"/>
        <w:autoSpaceDE/>
        <w:autoSpaceDN/>
        <w:bidi w:val="0"/>
        <w:adjustRightInd/>
        <w:spacing w:line="560" w:lineRule="exact"/>
        <w:rPr>
          <w:rFonts w:hint="eastAsia" w:ascii="仿宋" w:hAnsi="仿宋" w:eastAsia="仿宋" w:cs="仿宋"/>
          <w:sz w:val="28"/>
          <w:szCs w:val="28"/>
        </w:rPr>
      </w:pPr>
    </w:p>
    <w:p>
      <w:pPr>
        <w:keepNext w:val="0"/>
        <w:keepLines w:val="0"/>
        <w:pageBreakBefore w:val="0"/>
        <w:kinsoku/>
        <w:wordWrap/>
        <w:overflowPunct/>
        <w:topLinePunct w:val="0"/>
        <w:autoSpaceDE/>
        <w:autoSpaceDN/>
        <w:bidi w:val="0"/>
        <w:adjustRightInd/>
        <w:spacing w:line="560" w:lineRule="exact"/>
        <w:rPr>
          <w:rFonts w:hint="eastAsia" w:ascii="仿宋" w:hAnsi="仿宋" w:eastAsia="仿宋" w:cs="仿宋"/>
          <w:sz w:val="28"/>
          <w:szCs w:val="28"/>
        </w:rPr>
      </w:pPr>
    </w:p>
    <w:p>
      <w:pPr>
        <w:keepNext w:val="0"/>
        <w:keepLines w:val="0"/>
        <w:pageBreakBefore w:val="0"/>
        <w:kinsoku/>
        <w:wordWrap/>
        <w:topLinePunct w:val="0"/>
        <w:autoSpaceDE/>
        <w:autoSpaceDN/>
        <w:bidi w:val="0"/>
        <w:snapToGrid w:val="0"/>
        <w:spacing w:line="500" w:lineRule="exact"/>
        <w:textAlignment w:val="auto"/>
        <w:rPr>
          <w:rFonts w:hint="eastAsia" w:ascii="宋体" w:hAnsi="宋体" w:eastAsia="宋体" w:cs="宋体"/>
          <w:color w:val="000000"/>
          <w:sz w:val="24"/>
          <w:szCs w:val="24"/>
        </w:rPr>
      </w:pPr>
    </w:p>
    <w:p>
      <w:pPr>
        <w:keepNext w:val="0"/>
        <w:keepLines w:val="0"/>
        <w:pageBreakBefore w:val="0"/>
        <w:tabs>
          <w:tab w:val="center" w:pos="4887"/>
        </w:tabs>
        <w:kinsoku/>
        <w:wordWrap/>
        <w:topLinePunct w:val="0"/>
        <w:autoSpaceDE/>
        <w:autoSpaceDN/>
        <w:bidi w:val="0"/>
        <w:snapToGrid w:val="0"/>
        <w:spacing w:line="50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716" w:firstLineChars="256"/>
        <w:jc w:val="both"/>
        <w:textAlignment w:val="auto"/>
        <w:outlineLvl w:val="9"/>
        <w:rPr>
          <w:rFonts w:hint="eastAsia" w:ascii="仿宋_GB2312" w:hAnsi="宋体" w:eastAsia="仿宋_GB2312"/>
          <w:color w:val="000000"/>
          <w:sz w:val="28"/>
          <w:szCs w:val="28"/>
          <w:lang w:eastAsia="zh-CN"/>
        </w:rPr>
      </w:pPr>
    </w:p>
    <w:p>
      <w:pPr>
        <w:pStyle w:val="15"/>
        <w:numPr>
          <w:ilvl w:val="0"/>
          <w:numId w:val="0"/>
        </w:numPr>
        <w:spacing w:beforeLines="0" w:afterLines="0" w:line="400" w:lineRule="exact"/>
        <w:rPr>
          <w:rFonts w:hint="eastAsia" w:ascii="宋体" w:hAnsi="宋体" w:eastAsia="宋体"/>
          <w:b/>
          <w:bCs/>
        </w:rPr>
      </w:pPr>
    </w:p>
    <w:p>
      <w:pPr>
        <w:spacing w:line="400" w:lineRule="exact"/>
        <w:ind w:firstLine="420" w:firstLineChars="200"/>
        <w:rPr>
          <w:rFonts w:hint="eastAsia"/>
        </w:rPr>
      </w:pPr>
    </w:p>
    <w:p>
      <w:pPr>
        <w:pStyle w:val="25"/>
        <w:rPr>
          <w:rFonts w:hint="eastAsia"/>
        </w:rPr>
      </w:pPr>
      <w:bookmarkStart w:id="6" w:name="_Toc385067579"/>
      <w:bookmarkEnd w:id="6"/>
      <w:bookmarkStart w:id="7" w:name="_Toc313113670"/>
      <w:bookmarkEnd w:id="7"/>
      <w:bookmarkStart w:id="8" w:name="_Toc385067578"/>
      <w:bookmarkEnd w:id="8"/>
      <w:bookmarkStart w:id="9" w:name="_Toc313113669"/>
      <w:bookmarkEnd w:id="9"/>
      <w:bookmarkStart w:id="10" w:name="_Toc385264835"/>
      <w:bookmarkEnd w:id="10"/>
      <w:bookmarkStart w:id="11" w:name="_Toc385264836"/>
      <w:bookmarkEnd w:id="11"/>
      <w:bookmarkStart w:id="12" w:name="_Toc313113995"/>
      <w:bookmarkEnd w:id="12"/>
      <w:bookmarkStart w:id="13" w:name="_Toc313113994"/>
      <w:bookmarkEnd w:id="13"/>
    </w:p>
    <w:sectPr>
      <w:headerReference r:id="rId8" w:type="default"/>
      <w:footerReference r:id="rId9" w:type="default"/>
      <w:footerReference r:id="rId10" w:type="even"/>
      <w:pgSz w:w="11907" w:h="16839"/>
      <w:pgMar w:top="1418" w:right="1134" w:bottom="1134" w:left="1418" w:header="1418"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720"/>
      <w:jc w:val="both"/>
      <w:rPr>
        <w:sz w:val="2"/>
        <w:szCs w:val="2"/>
      </w:rPr>
    </w:pPr>
    <w:r>
      <w:rPr>
        <w:sz w:val="2"/>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2"/>
      <w:rPr>
        <w:rStyle w:val="9"/>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12"/>
      <w:rPr>
        <w:rStyle w:val="9"/>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spacing w:after="360" w:line="240" w:lineRule="auto"/>
      <w:jc w:val="right"/>
      <w:rPr>
        <w:rFonts w:hint="eastAsia" w:ascii="黑体" w:hAnsi="黑体" w:eastAsia="黑体" w:cs="黑体"/>
        <w:bCs/>
        <w:sz w:val="21"/>
        <w:szCs w:val="21"/>
      </w:rPr>
    </w:pPr>
    <w:r>
      <w:rPr>
        <w:rFonts w:hint="eastAsia" w:ascii="黑体" w:hAnsi="黑体" w:eastAsia="黑体" w:cs="黑体"/>
        <w:bCs/>
        <w:sz w:val="21"/>
        <w:szCs w:val="21"/>
      </w:rPr>
      <w:t>DB6540/T 004—2022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spacing w:after="360" w:line="240" w:lineRule="auto"/>
      <w:jc w:val="right"/>
      <w:rPr>
        <w:rFonts w:hint="eastAsia" w:ascii="黑体" w:hAnsi="黑体" w:eastAsia="黑体" w:cs="黑体"/>
        <w:bCs/>
        <w:sz w:val="21"/>
        <w:szCs w:val="21"/>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黑体" w:hAnsi="黑体" w:eastAsia="黑体" w:cs="黑体"/>
        <w:bCs/>
        <w:sz w:val="21"/>
        <w:szCs w:val="21"/>
      </w:rPr>
      <w:t>DB6540/T 004—202</w:t>
    </w:r>
    <w:r>
      <w:rPr>
        <w:rFonts w:hint="eastAsia" w:ascii="黑体" w:hAnsi="黑体" w:eastAsia="黑体" w:cs="黑体"/>
        <w:bCs/>
        <w:sz w:val="21"/>
        <w:szCs w:val="21"/>
        <w:lang w:val="en-US" w:eastAsia="zh-CN"/>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B55DC2"/>
    <w:multiLevelType w:val="multilevel"/>
    <w:tmpl w:val="60B55DC2"/>
    <w:lvl w:ilvl="0" w:tentative="0">
      <w:start w:val="1"/>
      <w:numFmt w:val="upperLetter"/>
      <w:pStyle w:val="25"/>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
    <w:nsid w:val="6CEA2025"/>
    <w:multiLevelType w:val="multilevel"/>
    <w:tmpl w:val="6CEA2025"/>
    <w:lvl w:ilvl="0" w:tentative="0">
      <w:start w:val="1"/>
      <w:numFmt w:val="none"/>
      <w:pStyle w:val="13"/>
      <w:suff w:val="nothing"/>
      <w:lvlText w:val="%1"/>
      <w:lvlJc w:val="left"/>
      <w:pPr>
        <w:ind w:left="0" w:firstLine="0"/>
      </w:pPr>
      <w:rPr>
        <w:rFonts w:hint="default" w:ascii="Times New Roman" w:hAnsi="Times New Roman"/>
        <w:b/>
        <w:i w:val="0"/>
        <w:sz w:val="21"/>
      </w:rPr>
    </w:lvl>
    <w:lvl w:ilvl="1" w:tentative="0">
      <w:start w:val="1"/>
      <w:numFmt w:val="decimal"/>
      <w:pStyle w:val="15"/>
      <w:suff w:val="nothing"/>
      <w:lvlText w:val="%1%2　"/>
      <w:lvlJc w:val="left"/>
      <w:pPr>
        <w:ind w:left="0" w:firstLine="0"/>
      </w:pPr>
      <w:rPr>
        <w:rFonts w:hint="eastAsia" w:ascii="黑体" w:hAnsi="Times New Roman" w:eastAsia="黑体"/>
        <w:b w:val="0"/>
        <w:i w:val="0"/>
        <w:sz w:val="28"/>
        <w:szCs w:val="28"/>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720" w:firstLine="0"/>
      </w:pPr>
      <w:rPr>
        <w:rFonts w:hint="eastAsia" w:ascii="黑体" w:hAnsi="Times New Roman" w:eastAsia="黑体"/>
        <w:b w:val="0"/>
        <w:i w:val="0"/>
        <w:sz w:val="21"/>
      </w:rPr>
    </w:lvl>
    <w:lvl w:ilvl="4" w:tentative="0">
      <w:start w:val="1"/>
      <w:numFmt w:val="decimal"/>
      <w:pStyle w:val="22"/>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MDdiMGE0YTcwN2EyODU4NjdhMTQ1MGU2MDA3OTQifQ=="/>
  </w:docVars>
  <w:rsids>
    <w:rsidRoot w:val="054204F0"/>
    <w:rsid w:val="03833F64"/>
    <w:rsid w:val="03DC0D0D"/>
    <w:rsid w:val="03EA08A3"/>
    <w:rsid w:val="04C11604"/>
    <w:rsid w:val="054204F0"/>
    <w:rsid w:val="0708006A"/>
    <w:rsid w:val="0BBE6644"/>
    <w:rsid w:val="13FC61B5"/>
    <w:rsid w:val="15D171CD"/>
    <w:rsid w:val="1B434989"/>
    <w:rsid w:val="1B4D49AC"/>
    <w:rsid w:val="1B723200"/>
    <w:rsid w:val="1CC17F9B"/>
    <w:rsid w:val="1D7943D9"/>
    <w:rsid w:val="1FBE4C66"/>
    <w:rsid w:val="200D1749"/>
    <w:rsid w:val="21D7200F"/>
    <w:rsid w:val="22613D1D"/>
    <w:rsid w:val="31A07289"/>
    <w:rsid w:val="36EA31F5"/>
    <w:rsid w:val="3C0B2B89"/>
    <w:rsid w:val="3DB039E8"/>
    <w:rsid w:val="3FB2502A"/>
    <w:rsid w:val="405C7E57"/>
    <w:rsid w:val="48F350D1"/>
    <w:rsid w:val="4D565C2E"/>
    <w:rsid w:val="4E1D5204"/>
    <w:rsid w:val="50395FE9"/>
    <w:rsid w:val="50B43398"/>
    <w:rsid w:val="51295570"/>
    <w:rsid w:val="56BC6214"/>
    <w:rsid w:val="58A106A5"/>
    <w:rsid w:val="595E6596"/>
    <w:rsid w:val="5D331807"/>
    <w:rsid w:val="5FB40CBE"/>
    <w:rsid w:val="60A70823"/>
    <w:rsid w:val="65426D6C"/>
    <w:rsid w:val="6ADE12E5"/>
    <w:rsid w:val="6F8A10CB"/>
    <w:rsid w:val="73DF04E1"/>
    <w:rsid w:val="761746FB"/>
    <w:rsid w:val="76D16118"/>
    <w:rsid w:val="772462D2"/>
    <w:rsid w:val="776D5ECB"/>
    <w:rsid w:val="777A72F7"/>
    <w:rsid w:val="78212130"/>
    <w:rsid w:val="7CE87648"/>
    <w:rsid w:val="7D284642"/>
    <w:rsid w:val="7D454D96"/>
    <w:rsid w:val="7E394D59"/>
    <w:rsid w:val="7FAF4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semiHidden/>
    <w:qFormat/>
    <w:uiPriority w:val="0"/>
    <w:pPr>
      <w:spacing w:before="120" w:after="120"/>
      <w:jc w:val="left"/>
    </w:pPr>
    <w:rPr>
      <w:b/>
      <w:bCs/>
      <w:caps/>
      <w:sz w:val="20"/>
      <w:szCs w:val="20"/>
    </w:rPr>
  </w:style>
  <w:style w:type="paragraph" w:styleId="5">
    <w:name w:val="toc 2"/>
    <w:basedOn w:val="1"/>
    <w:next w:val="1"/>
    <w:semiHidden/>
    <w:qFormat/>
    <w:uiPriority w:val="0"/>
    <w:pPr>
      <w:ind w:left="210"/>
      <w:jc w:val="left"/>
    </w:pPr>
    <w:rPr>
      <w:smallCaps/>
      <w:sz w:val="20"/>
      <w:szCs w:val="20"/>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character" w:styleId="9">
    <w:name w:val="page number"/>
    <w:basedOn w:val="8"/>
    <w:qFormat/>
    <w:uiPriority w:val="0"/>
    <w:rPr>
      <w:rFonts w:ascii="Times New Roman" w:hAnsi="Times New Roman" w:eastAsia="宋体"/>
      <w:sz w:val="18"/>
    </w:rPr>
  </w:style>
  <w:style w:type="character" w:styleId="10">
    <w:name w:val="Hyperlink"/>
    <w:basedOn w:val="8"/>
    <w:qFormat/>
    <w:uiPriority w:val="0"/>
    <w:rPr>
      <w:color w:val="0000FF"/>
      <w:spacing w:val="0"/>
      <w:w w:val="100"/>
      <w:szCs w:val="21"/>
      <w:u w:val="single"/>
    </w:rPr>
  </w:style>
  <w:style w:type="paragraph" w:customStyle="1" w:styleId="11">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
    <w:name w:val="标准书脚_偶数页"/>
    <w:qFormat/>
    <w:uiPriority w:val="0"/>
    <w:pPr>
      <w:spacing w:before="120" w:beforeLines="0"/>
    </w:pPr>
    <w:rPr>
      <w:rFonts w:ascii="Times New Roman" w:hAnsi="Times New Roman" w:eastAsia="宋体" w:cs="Times New Roman"/>
      <w:sz w:val="18"/>
      <w:lang w:val="en-US" w:eastAsia="zh-CN" w:bidi="ar-SA"/>
    </w:rPr>
  </w:style>
  <w:style w:type="paragraph" w:customStyle="1" w:styleId="13">
    <w:name w:val="前言、引言标题"/>
    <w:next w:val="1"/>
    <w:qFormat/>
    <w:uiPriority w:val="0"/>
    <w:pPr>
      <w:numPr>
        <w:ilvl w:val="0"/>
        <w:numId w:val="1"/>
      </w:numPr>
      <w:shd w:val="clear" w:color="FFFFFF" w:fill="FFFFFF"/>
      <w:spacing w:before="640" w:beforeLines="0" w:after="560" w:afterLines="0"/>
      <w:jc w:val="center"/>
      <w:outlineLvl w:val="0"/>
    </w:pPr>
    <w:rPr>
      <w:rFonts w:ascii="黑体" w:hAnsi="Times New Roman" w:eastAsia="黑体" w:cs="Times New Roman"/>
      <w:sz w:val="32"/>
      <w:lang w:val="en-US" w:eastAsia="zh-CN" w:bidi="ar-SA"/>
    </w:rPr>
  </w:style>
  <w:style w:type="paragraph" w:customStyle="1" w:styleId="1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章标题"/>
    <w:next w:val="1"/>
    <w:qFormat/>
    <w:uiPriority w:val="0"/>
    <w:pPr>
      <w:numPr>
        <w:ilvl w:val="1"/>
        <w:numId w:val="1"/>
      </w:num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
    <w:name w:val="其他发布部门"/>
    <w:basedOn w:val="19"/>
    <w:qFormat/>
    <w:uiPriority w:val="0"/>
    <w:pPr>
      <w:framePr w:wrap="around"/>
      <w:widowControl/>
      <w:spacing w:line="0" w:lineRule="atLeast"/>
      <w:jc w:val="center"/>
    </w:pPr>
    <w:rPr>
      <w:rFonts w:ascii="黑体" w:eastAsia="黑体"/>
      <w:spacing w:val="20"/>
      <w:w w:val="135"/>
      <w:kern w:val="0"/>
      <w:sz w:val="36"/>
      <w:szCs w:val="20"/>
    </w:rPr>
  </w:style>
  <w:style w:type="paragraph" w:customStyle="1" w:styleId="19">
    <w:name w:val="发布部门"/>
    <w:next w:val="1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20">
    <w:name w:val="发布"/>
    <w:basedOn w:val="8"/>
    <w:qFormat/>
    <w:uiPriority w:val="0"/>
    <w:rPr>
      <w:rFonts w:ascii="黑体" w:eastAsia="黑体"/>
      <w:spacing w:val="22"/>
      <w:w w:val="100"/>
      <w:position w:val="3"/>
      <w:sz w:val="28"/>
    </w:rPr>
  </w:style>
  <w:style w:type="paragraph" w:customStyle="1" w:styleId="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2">
    <w:name w:val="实施日期"/>
    <w:basedOn w:val="21"/>
    <w:qFormat/>
    <w:uiPriority w:val="0"/>
    <w:pPr>
      <w:framePr w:wrap="around" w:xAlign="right"/>
      <w:widowControl/>
      <w:numPr>
        <w:ilvl w:val="4"/>
        <w:numId w:val="1"/>
      </w:numPr>
      <w:jc w:val="right"/>
    </w:pPr>
    <w:rPr>
      <w:rFonts w:eastAsia="黑体"/>
      <w:kern w:val="0"/>
      <w:sz w:val="28"/>
      <w:szCs w:val="20"/>
    </w:rPr>
  </w:style>
  <w:style w:type="paragraph" w:customStyle="1" w:styleId="2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5">
    <w:name w:val="附录表标号"/>
    <w:basedOn w:val="1"/>
    <w:next w:val="14"/>
    <w:qFormat/>
    <w:uiPriority w:val="0"/>
    <w:pPr>
      <w:numPr>
        <w:ilvl w:val="0"/>
        <w:numId w:val="2"/>
      </w:numPr>
      <w:tabs>
        <w:tab w:val="clear" w:pos="0"/>
      </w:tabs>
      <w:spacing w:line="14" w:lineRule="exact"/>
      <w:ind w:left="811" w:hanging="448"/>
      <w:jc w:val="center"/>
      <w:outlineLvl w:val="0"/>
    </w:pPr>
    <w:rPr>
      <w:color w:val="FFFFFF"/>
    </w:rPr>
  </w:style>
  <w:style w:type="paragraph" w:customStyle="1" w:styleId="26">
    <w:name w:val="其他实施日期"/>
    <w:basedOn w:val="22"/>
    <w:qFormat/>
    <w:uiPriority w:val="0"/>
    <w:pPr>
      <w:framePr w:w="3997" w:h="471" w:hRule="exact" w:vSpace="181" w:vAnchor="page" w:hAnchor="page" w:x="7089" w:y="14097"/>
    </w:pPr>
  </w:style>
  <w:style w:type="paragraph" w:customStyle="1" w:styleId="27">
    <w:name w:val="其他发布日期"/>
    <w:basedOn w:val="21"/>
    <w:qFormat/>
    <w:uiPriority w:val="0"/>
    <w:pPr>
      <w:framePr w:w="3997" w:h="471" w:hRule="exact" w:hSpace="0" w:vSpace="181" w:vAnchor="page" w:hAnchor="page" w:x="1419" w:y="14097"/>
    </w:pPr>
  </w:style>
  <w:style w:type="paragraph" w:customStyle="1" w:styleId="2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9">
    <w:name w:val="标准文件_文件编号"/>
    <w:basedOn w:val="30"/>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30">
    <w:name w:val="标准文件_段"/>
    <w:qFormat/>
    <w:uiPriority w:val="0"/>
    <w:pPr>
      <w:autoSpaceDE w:val="0"/>
      <w:autoSpaceDN w:val="0"/>
      <w:ind w:firstLine="200" w:firstLineChars="200"/>
      <w:jc w:val="both"/>
    </w:pPr>
    <w:rPr>
      <w:rFonts w:ascii="宋体" w:hAnsi="Times New Roman" w:eastAsia="宋体" w:cs="Times New Roman"/>
      <w:sz w:val="21"/>
      <w:lang w:bidi="ar-SA"/>
    </w:rPr>
  </w:style>
  <w:style w:type="paragraph" w:customStyle="1" w:styleId="31">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2884</Words>
  <Characters>3662</Characters>
  <Lines>0</Lines>
  <Paragraphs>0</Paragraphs>
  <TotalTime>7</TotalTime>
  <ScaleCrop>false</ScaleCrop>
  <LinksUpToDate>false</LinksUpToDate>
  <CharactersWithSpaces>3774</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2022-05-26T08:39:00Z</dcterms:created>
  <dc:creator>尹登芝文君</dc:creator>
  <cp:lastModifiedBy>Administrator</cp:lastModifiedBy>
  <cp:lastPrinted>2023-04-07T05:15:44Z</cp:lastPrinted>
  <dcterms:modified xsi:type="dcterms:W3CDTF">2023-04-07T05:16:26Z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E3B33EABB13842BFA07C4850459CBF90</vt:lpwstr>
  </property>
</Properties>
</file>