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0" w:firstLineChars="200"/>
        <w:rPr>
          <w:rFonts w:hint="eastAsia" w:ascii="宋体" w:hAnsi="宋体" w:eastAsia="宋体" w:cs="Times New Roman"/>
          <w:b w:val="0"/>
          <w:bCs w:val="0"/>
          <w:color w:val="000000"/>
          <w:sz w:val="28"/>
          <w:szCs w:val="28"/>
          <w:lang w:val="en-US" w:eastAsia="zh-CN"/>
        </w:rPr>
      </w:pPr>
      <w:r>
        <w:rPr>
          <w:rFonts w:hint="eastAsia" w:ascii="宋体" w:hAnsi="宋体" w:cs="Times New Roman"/>
          <w:b w:val="0"/>
          <w:bCs w:val="0"/>
          <w:color w:val="000000"/>
          <w:sz w:val="36"/>
          <w:szCs w:val="36"/>
          <w:lang w:val="en-US" w:eastAsia="zh-CN"/>
        </w:rPr>
        <w:tab/>
      </w:r>
      <w:r>
        <w:rPr>
          <w:rFonts w:hint="eastAsia" w:ascii="宋体" w:hAnsi="宋体" w:cs="Times New Roman"/>
          <w:b w:val="0"/>
          <w:bCs w:val="0"/>
          <w:color w:val="000000"/>
          <w:sz w:val="36"/>
          <w:szCs w:val="36"/>
          <w:lang w:val="en-US" w:eastAsia="zh-CN"/>
        </w:rPr>
        <w:t xml:space="preserve">    </w:t>
      </w:r>
    </w:p>
    <w:p>
      <w:pPr>
        <w:pStyle w:val="26"/>
        <w:jc w:val="center"/>
        <w:rPr>
          <w:rFonts w:hint="eastAsia"/>
        </w:rPr>
      </w:pPr>
    </w:p>
    <w:tbl>
      <w:tblPr>
        <w:tblStyle w:val="6"/>
        <w:tblpPr w:leftFromText="180" w:rightFromText="180" w:vertAnchor="text" w:horzAnchor="page" w:tblpX="4315" w:tblpY="350"/>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noWrap w:val="0"/>
            <w:vAlign w:val="top"/>
          </w:tcPr>
          <w:p>
            <w:pPr>
              <w:pStyle w:val="27"/>
              <w:framePr w:w="0" w:hRule="auto" w:wrap="auto" w:vAnchor="margin" w:hAnchor="text" w:xAlign="left" w:yAlign="inline"/>
              <w:rPr>
                <w:rFonts w:ascii="宋体" w:hAnsi="宋体"/>
                <w:sz w:val="28"/>
                <w:szCs w:val="28"/>
              </w:rPr>
            </w:pPr>
            <w:r>
              <w:drawing>
                <wp:inline distT="0" distB="0" distL="114300" distR="114300">
                  <wp:extent cx="796290" cy="397510"/>
                  <wp:effectExtent l="0" t="0" r="3810" b="254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4"/>
                          <a:stretch>
                            <a:fillRect/>
                          </a:stretch>
                        </pic:blipFill>
                        <pic:spPr>
                          <a:xfrm>
                            <a:off x="0" y="0"/>
                            <a:ext cx="796290" cy="397510"/>
                          </a:xfrm>
                          <a:prstGeom prst="rect">
                            <a:avLst/>
                          </a:prstGeom>
                          <a:noFill/>
                          <a:ln>
                            <a:noFill/>
                          </a:ln>
                        </pic:spPr>
                      </pic:pic>
                    </a:graphicData>
                  </a:graphic>
                </wp:inline>
              </w:drawing>
            </w:r>
            <w:r>
              <w:rPr>
                <w:sz w:val="21"/>
                <w:szCs w:val="21"/>
              </w:rPr>
              <w:t xml:space="preserve"> </w:t>
            </w:r>
            <w:r>
              <w:t>6540</w:t>
            </w:r>
          </w:p>
        </w:tc>
      </w:tr>
    </w:tbl>
    <w:p>
      <w:pPr>
        <w:pStyle w:val="26"/>
        <w:jc w:val="center"/>
        <w:rPr>
          <w:rFonts w:hint="eastAsia"/>
        </w:rPr>
      </w:pPr>
    </w:p>
    <w:p>
      <w:pPr>
        <w:pStyle w:val="26"/>
        <w:keepNext w:val="0"/>
        <w:keepLines w:val="0"/>
        <w:pageBreakBefore w:val="0"/>
        <w:kinsoku/>
        <w:wordWrap/>
        <w:overflowPunct/>
        <w:topLinePunct w:val="0"/>
        <w:autoSpaceDE/>
        <w:autoSpaceDN/>
        <w:bidi w:val="0"/>
        <w:adjustRightInd/>
        <w:snapToGrid/>
        <w:spacing w:line="560" w:lineRule="exact"/>
        <w:jc w:val="center"/>
        <w:textAlignment w:val="auto"/>
        <w:rPr>
          <w:rFonts w:hint="eastAsia"/>
        </w:rPr>
      </w:pPr>
    </w:p>
    <w:p>
      <w:pPr>
        <w:pStyle w:val="26"/>
        <w:keepNext w:val="0"/>
        <w:keepLines w:val="0"/>
        <w:pageBreakBefore w:val="0"/>
        <w:kinsoku/>
        <w:wordWrap/>
        <w:overflowPunct/>
        <w:topLinePunct w:val="0"/>
        <w:autoSpaceDE/>
        <w:autoSpaceDN/>
        <w:bidi w:val="0"/>
        <w:adjustRightInd/>
        <w:snapToGrid/>
        <w:spacing w:line="560" w:lineRule="exact"/>
        <w:jc w:val="center"/>
        <w:textAlignment w:val="auto"/>
        <w:rPr>
          <w:rFonts w:hint="eastAsia"/>
        </w:rPr>
      </w:pPr>
    </w:p>
    <w:p>
      <w:pPr>
        <w:pStyle w:val="28"/>
        <w:jc w:val="center"/>
        <w:rPr>
          <w:rFonts w:hint="default" w:hAnsi="黑体"/>
          <w:color w:val="000000"/>
          <w:lang w:val="en-US"/>
        </w:rPr>
      </w:pPr>
      <w:r>
        <w:rPr>
          <w:rFonts w:hint="eastAsia"/>
          <w:color w:val="000000"/>
          <w:lang w:val="en-US" w:eastAsia="zh-CN"/>
        </w:rPr>
        <w:t xml:space="preserve">                                                   </w:t>
      </w:r>
      <w:r>
        <w:rPr>
          <w:color w:val="000000"/>
          <w:lang w:val="fr-FR"/>
        </w:rPr>
        <w:t>DB</w:t>
      </w:r>
      <w:r>
        <w:rPr>
          <w:rFonts w:hint="eastAsia"/>
          <w:color w:val="000000"/>
          <w:lang w:val="en-US" w:eastAsia="zh-CN"/>
        </w:rPr>
        <w:t>6540/T</w:t>
      </w:r>
      <w:r>
        <w:rPr>
          <w:color w:val="000000"/>
          <w:sz w:val="15"/>
          <w:szCs w:val="15"/>
          <w:lang w:val="fr-FR"/>
        </w:rPr>
        <w:t xml:space="preserve"> </w:t>
      </w:r>
      <w:r>
        <w:rPr>
          <w:rFonts w:hint="default"/>
          <w:color w:val="000000"/>
          <w:sz w:val="15"/>
          <w:szCs w:val="15"/>
        </w:rPr>
        <w:t>XXX</w:t>
      </w:r>
      <w:r>
        <w:rPr>
          <w:color w:val="000000"/>
        </w:rPr>
        <w:t>-</w:t>
      </w:r>
      <w:r>
        <w:rPr>
          <w:rFonts w:hint="eastAsia" w:hAnsi="黑体"/>
          <w:color w:val="000000"/>
          <w:lang w:val="en-US" w:eastAsia="zh-CN"/>
        </w:rPr>
        <w:t>2023</w:t>
      </w:r>
    </w:p>
    <w:p>
      <w:pPr>
        <w:pStyle w:val="26"/>
        <w:keepNext w:val="0"/>
        <w:keepLines w:val="0"/>
        <w:pageBreakBefore w:val="0"/>
        <w:kinsoku/>
        <w:wordWrap/>
        <w:overflowPunct/>
        <w:topLinePunct w:val="0"/>
        <w:autoSpaceDE/>
        <w:autoSpaceDN/>
        <w:bidi w:val="0"/>
        <w:adjustRightInd/>
        <w:snapToGrid/>
        <w:spacing w:line="560" w:lineRule="exact"/>
        <w:jc w:val="center"/>
        <w:textAlignment w:val="auto"/>
        <w:rPr>
          <w:rFonts w:hint="eastAsia"/>
        </w:rPr>
      </w:pPr>
    </w:p>
    <w:p>
      <w:pPr>
        <w:pStyle w:val="26"/>
        <w:keepNext w:val="0"/>
        <w:keepLines w:val="0"/>
        <w:pageBreakBefore w:val="0"/>
        <w:kinsoku/>
        <w:wordWrap/>
        <w:overflowPunct/>
        <w:topLinePunct w:val="0"/>
        <w:autoSpaceDE/>
        <w:autoSpaceDN/>
        <w:bidi w:val="0"/>
        <w:adjustRightInd/>
        <w:snapToGrid/>
        <w:spacing w:line="560" w:lineRule="exact"/>
        <w:jc w:val="center"/>
        <w:textAlignment w:val="auto"/>
      </w:pPr>
      <w:r>
        <w:rPr>
          <w:rFonts w:hint="eastAsia"/>
        </w:rPr>
        <w:t xml:space="preserve">伊 犁 哈 萨 克 自 治 州 </w:t>
      </w:r>
      <w:r>
        <w:t>地</w:t>
      </w:r>
      <w:r>
        <w:rPr>
          <w:rFonts w:hint="eastAsia"/>
        </w:rPr>
        <w:t xml:space="preserve"> </w:t>
      </w:r>
      <w:r>
        <w:t>方</w:t>
      </w:r>
      <w:r>
        <w:rPr>
          <w:rFonts w:hint="eastAsia"/>
        </w:rPr>
        <w:t xml:space="preserve"> </w:t>
      </w:r>
      <w:r>
        <w:t>标</w:t>
      </w:r>
      <w:r>
        <w:rPr>
          <w:rFonts w:hint="eastAsia"/>
        </w:rPr>
        <w:t xml:space="preserve"> </w:t>
      </w:r>
      <w:r>
        <w:t>准</w:t>
      </w:r>
    </w:p>
    <w:p>
      <w:pPr>
        <w:pStyle w:val="11"/>
        <w:keepNext w:val="0"/>
        <w:keepLines w:val="0"/>
        <w:pageBreakBefore w:val="0"/>
        <w:kinsoku/>
        <w:wordWrap/>
        <w:overflowPunct/>
        <w:topLinePunct w:val="0"/>
        <w:autoSpaceDE/>
        <w:autoSpaceDN/>
        <w:bidi w:val="0"/>
        <w:adjustRightInd/>
        <w:snapToGrid/>
        <w:spacing w:line="560" w:lineRule="exact"/>
        <w:textAlignment w:val="auto"/>
        <w:rPr>
          <w:rFonts w:hint="eastAsia" w:hAnsi="黑体"/>
        </w:rPr>
      </w:pPr>
      <w:r>
        <w:rPr>
          <w:rFonts w:hint="eastAsia"/>
        </w:rPr>
        <mc:AlternateContent>
          <mc:Choice Requires="wps">
            <w:drawing>
              <wp:anchor distT="0" distB="0" distL="114300" distR="114300" simplePos="0" relativeHeight="251659264" behindDoc="0" locked="0" layoutInCell="1" allowOverlap="1">
                <wp:simplePos x="0" y="0"/>
                <wp:positionH relativeFrom="column">
                  <wp:posOffset>8255</wp:posOffset>
                </wp:positionH>
                <wp:positionV relativeFrom="paragraph">
                  <wp:posOffset>349885</wp:posOffset>
                </wp:positionV>
                <wp:extent cx="6094095" cy="22225"/>
                <wp:effectExtent l="0" t="6350" r="1905" b="9525"/>
                <wp:wrapNone/>
                <wp:docPr id="14" name="直接连接符 14"/>
                <wp:cNvGraphicFramePr/>
                <a:graphic xmlns:a="http://schemas.openxmlformats.org/drawingml/2006/main">
                  <a:graphicData uri="http://schemas.microsoft.com/office/word/2010/wordprocessingShape">
                    <wps:wsp>
                      <wps:cNvCnPr/>
                      <wps:spPr>
                        <a:xfrm flipV="1">
                          <a:off x="0" y="0"/>
                          <a:ext cx="6094095" cy="22225"/>
                        </a:xfrm>
                        <a:prstGeom prst="line">
                          <a:avLst/>
                        </a:prstGeom>
                        <a:ln w="12700" cap="flat" cmpd="sng">
                          <a:solidFill>
                            <a:srgbClr val="800008"/>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0.65pt;margin-top:27.55pt;height:1.75pt;width:479.85pt;z-index:251659264;mso-width-relative:page;mso-height-relative:page;" filled="f" stroked="t" coordsize="21600,21600" o:gfxdata="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CMNip1AAAAAcBAAAPAAAAAAAAAAEAIAAAACIAAABkcnMvZG93bnJl&#10;di54bWxQSwECFAAUAAAACACHTuJAKAKbKwECAAD1AwAADgAAAAAAAAABACAAAAAjAQAAZHJzL2Uy&#10;b0RvYy54bWxQSwUGAAAAAAYABgBZAQAAlgUAAAAA&#10;">
                <v:fill on="f" focussize="0,0"/>
                <v:stroke weight="1pt" color="#800008" joinstyle="round"/>
                <v:imagedata o:title=""/>
                <o:lock v:ext="edit" aspectratio="f"/>
              </v:line>
            </w:pict>
          </mc:Fallback>
        </mc:AlternateConten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hAnsi="宋体" w:eastAsia="黑体"/>
          <w:b/>
          <w:color w:val="000000"/>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hAnsi="宋体" w:eastAsia="黑体"/>
          <w:b/>
          <w:color w:val="000000"/>
          <w:sz w:val="44"/>
          <w:szCs w:val="44"/>
        </w:rPr>
      </w:pPr>
      <w:r>
        <w:rPr>
          <w:rFonts w:hint="eastAsia" w:ascii="黑体" w:hAnsi="宋体" w:eastAsia="黑体"/>
          <w:b/>
          <w:color w:val="000000"/>
          <w:sz w:val="44"/>
          <w:szCs w:val="44"/>
          <w:lang w:eastAsia="zh-CN"/>
        </w:rPr>
        <w:t>红花产地加工</w:t>
      </w:r>
      <w:r>
        <w:rPr>
          <w:rFonts w:hint="eastAsia" w:ascii="黑体" w:hAnsi="宋体" w:eastAsia="黑体"/>
          <w:b/>
          <w:color w:val="000000"/>
          <w:sz w:val="44"/>
          <w:szCs w:val="44"/>
        </w:rPr>
        <w:t>技术规程</w:t>
      </w:r>
    </w:p>
    <w:p>
      <w:pPr>
        <w:pStyle w:val="30"/>
        <w:textAlignment w:val="bottom"/>
        <w:rPr>
          <w:rFonts w:hint="default" w:eastAsia="黑体"/>
          <w:szCs w:val="28"/>
        </w:rPr>
      </w:pPr>
      <w:r>
        <w:rPr>
          <w:rFonts w:hint="eastAsia" w:hAnsi="黑体"/>
          <w:lang w:eastAsia="zh-CN"/>
        </w:rPr>
        <w:tab/>
      </w:r>
      <w:r>
        <w:rPr>
          <w:rFonts w:hint="eastAsia" w:ascii="宋体" w:hAnsi="宋体"/>
          <w:sz w:val="28"/>
          <w:szCs w:val="28"/>
          <w:lang w:val="en-US" w:eastAsia="zh-CN"/>
        </w:rPr>
        <w:t xml:space="preserve"> </w:t>
      </w:r>
      <w:r>
        <w:rPr>
          <w:rFonts w:hint="default" w:eastAsia="黑体"/>
          <w:szCs w:val="28"/>
        </w:rPr>
        <w:t>(征求意见稿)</w:t>
      </w:r>
    </w:p>
    <w:p>
      <w:pPr>
        <w:pStyle w:val="11"/>
        <w:keepNext w:val="0"/>
        <w:keepLines w:val="0"/>
        <w:pageBreakBefore w:val="0"/>
        <w:tabs>
          <w:tab w:val="left" w:pos="3703"/>
        </w:tabs>
        <w:kinsoku/>
        <w:wordWrap/>
        <w:overflowPunct/>
        <w:topLinePunct w:val="0"/>
        <w:autoSpaceDE/>
        <w:autoSpaceDN/>
        <w:bidi w:val="0"/>
        <w:adjustRightInd/>
        <w:snapToGrid/>
        <w:spacing w:line="560" w:lineRule="exact"/>
        <w:jc w:val="left"/>
        <w:textAlignment w:val="auto"/>
        <w:rPr>
          <w:rFonts w:hint="eastAsia" w:hAnsi="黑体"/>
        </w:rPr>
      </w:pPr>
      <w:bookmarkStart w:id="0" w:name="_GoBack"/>
      <w:bookmarkEnd w:id="0"/>
    </w:p>
    <w:p>
      <w:pPr>
        <w:pStyle w:val="11"/>
        <w:keepNext w:val="0"/>
        <w:keepLines w:val="0"/>
        <w:pageBreakBefore w:val="0"/>
        <w:kinsoku/>
        <w:wordWrap/>
        <w:overflowPunct/>
        <w:topLinePunct w:val="0"/>
        <w:autoSpaceDE/>
        <w:autoSpaceDN/>
        <w:bidi w:val="0"/>
        <w:adjustRightInd/>
        <w:snapToGrid/>
        <w:spacing w:line="560" w:lineRule="exact"/>
        <w:textAlignment w:val="auto"/>
        <w:rPr>
          <w:rFonts w:hint="eastAsia" w:hAnsi="黑体"/>
        </w:rPr>
      </w:pPr>
    </w:p>
    <w:p>
      <w:pPr>
        <w:pStyle w:val="31"/>
        <w:framePr w:wrap="around" w:x="1238" w:y="14116"/>
        <w:rPr>
          <w:color w:val="000000"/>
        </w:rPr>
      </w:pPr>
      <w:r>
        <w:rPr>
          <w:rFonts w:hint="eastAsia" w:ascii="黑体"/>
          <w:color w:val="000000"/>
        </w:rPr>
        <w:t>202</w:t>
      </w:r>
      <w:r>
        <w:rPr>
          <w:rFonts w:hint="eastAsia" w:ascii="黑体"/>
          <w:color w:val="000000"/>
          <w:lang w:val="en-US" w:eastAsia="zh-CN"/>
        </w:rPr>
        <w:t>3</w:t>
      </w:r>
      <w:r>
        <w:rPr>
          <w:rFonts w:ascii="黑体"/>
          <w:color w:val="000000"/>
        </w:rPr>
        <w:t>-</w:t>
      </w:r>
      <w:r>
        <w:rPr>
          <w:rFonts w:hint="default" w:ascii="黑体"/>
          <w:color w:val="000000"/>
        </w:rPr>
        <w:t>XX</w:t>
      </w:r>
      <w:r>
        <w:rPr>
          <w:rFonts w:ascii="黑体"/>
          <w:color w:val="000000"/>
        </w:rPr>
        <w:t>-</w:t>
      </w:r>
      <w:r>
        <w:rPr>
          <w:rFonts w:hint="default" w:ascii="黑体"/>
          <w:color w:val="000000"/>
        </w:rPr>
        <w:t>XX</w:t>
      </w:r>
      <w:r>
        <w:rPr>
          <w:rFonts w:hint="eastAsia"/>
          <w:color w:val="000000"/>
        </w:rPr>
        <w:t>发布</w:t>
      </w:r>
    </w:p>
    <w:p>
      <w:pPr>
        <w:pStyle w:val="33"/>
        <w:framePr w:wrap="around" w:y="14176"/>
        <w:numPr>
          <w:ilvl w:val="4"/>
          <w:numId w:val="0"/>
        </w:numPr>
        <w:ind w:leftChars="0" w:firstLine="1120" w:firstLineChars="400"/>
        <w:jc w:val="both"/>
        <w:rPr>
          <w:color w:val="FF0000"/>
        </w:rPr>
      </w:pPr>
      <w:r>
        <w:rPr>
          <w:rFonts w:hint="eastAsia" w:ascii="黑体"/>
          <w:color w:val="000000"/>
        </w:rPr>
        <w:t>202</w:t>
      </w:r>
      <w:r>
        <w:rPr>
          <w:rFonts w:hint="eastAsia" w:ascii="黑体"/>
          <w:color w:val="000000"/>
          <w:lang w:val="en-US" w:eastAsia="zh-CN"/>
        </w:rPr>
        <w:t>3</w:t>
      </w:r>
      <w:r>
        <w:rPr>
          <w:rFonts w:ascii="黑体"/>
          <w:color w:val="000000"/>
        </w:rPr>
        <w:t>-</w:t>
      </w:r>
      <w:r>
        <w:rPr>
          <w:rFonts w:hint="default" w:ascii="黑体"/>
          <w:color w:val="000000"/>
        </w:rPr>
        <w:t>XX</w:t>
      </w:r>
      <w:r>
        <w:rPr>
          <w:rFonts w:ascii="黑体"/>
          <w:color w:val="000000"/>
        </w:rPr>
        <w:t>-</w:t>
      </w:r>
      <w:r>
        <w:rPr>
          <w:rFonts w:hint="default" w:ascii="黑体"/>
          <w:color w:val="000000"/>
        </w:rPr>
        <w:t>XX</w:t>
      </w:r>
      <w:r>
        <w:rPr>
          <w:rFonts w:hint="eastAsia"/>
          <w:color w:val="000000"/>
        </w:rPr>
        <w:t>实施</w:t>
      </w:r>
    </w:p>
    <w:p>
      <w:pPr>
        <w:pStyle w:val="35"/>
        <w:framePr w:w="8070" w:h="405" w:hRule="exact" w:vAnchor="page" w:hAnchor="page" w:x="2115" w:y="14964"/>
        <w:tabs>
          <w:tab w:val="left" w:pos="6582"/>
        </w:tabs>
        <w:jc w:val="both"/>
        <w:rPr>
          <w:sz w:val="28"/>
          <w:szCs w:val="28"/>
        </w:rPr>
      </w:pPr>
      <w:r>
        <w:rPr>
          <w:sz w:val="28"/>
          <w:szCs w:val="28"/>
          <w:u w:val="none"/>
        </w:rPr>
        <w:pict>
          <v:shape id="_x0000_s1026" o:spid="_x0000_s1026" o:spt="136" type="#_x0000_t136" style="position:absolute;left:0pt;margin-left:10.35pt;margin-top:-0.05pt;height:18.05pt;width:308.2pt;z-index:251660288;mso-width-relative:page;mso-height-relative:page;" fillcolor="#000000" filled="t" stroked="t" coordsize="21600,21600" adj="10800">
            <v:path/>
            <v:fill on="t" color2="#FFFFFF" focussize="0,0"/>
            <v:stroke weight="0.25pt"/>
            <v:imagedata o:title=""/>
            <o:lock v:ext="edit" aspectratio="f"/>
            <v:textpath on="t" fitshape="t" fitpath="t" trim="t" xscale="f" string="伊犁哈萨克自治州市场监督管理局 " style="font-family:宋体;font-size:36pt;v-text-align:center;"/>
            <v:shadow on="t" obscured="f" color="#B2B2B2" opacity="52428f" offset="0.000236220472440945pt,0pt" offset2="-2pt,-2pt"/>
          </v:shape>
        </w:pict>
      </w:r>
      <w:r>
        <w:rPr>
          <w:rFonts w:hint="eastAsia"/>
          <w:sz w:val="28"/>
          <w:szCs w:val="28"/>
          <w:u w:val="none"/>
          <w:lang w:eastAsia="zh-CN"/>
        </w:rPr>
        <w:tab/>
      </w:r>
      <w:r>
        <w:rPr>
          <w:rFonts w:hint="eastAsia"/>
          <w:sz w:val="28"/>
          <w:szCs w:val="28"/>
          <w:u w:val="none"/>
          <w:lang w:val="en-US" w:eastAsia="zh-CN"/>
        </w:rPr>
        <w:t>发布</w:t>
      </w:r>
    </w:p>
    <w:p>
      <w:pPr>
        <w:pStyle w:val="11"/>
        <w:numPr>
          <w:ilvl w:val="0"/>
          <w:numId w:val="0"/>
        </w:numPr>
        <w:ind w:leftChars="0" w:firstLine="2570" w:firstLineChars="800"/>
        <w:jc w:val="both"/>
        <w:rPr>
          <w:rFonts w:hint="eastAsia"/>
          <w:b/>
          <w:bCs/>
        </w:rPr>
      </w:pPr>
      <w:r>
        <w:rPr>
          <w:rFonts w:hint="eastAsia"/>
          <w:b/>
          <w:bCs/>
        </w:rPr>
        <w:t>前    言</w:t>
      </w:r>
    </w:p>
    <w:p>
      <w:pPr>
        <w:pStyle w:val="12"/>
        <w:ind w:firstLine="420"/>
        <w:rPr>
          <w:rFonts w:hint="eastAsia"/>
        </w:rPr>
      </w:pPr>
      <w:r>
        <w:rPr>
          <w:rFonts w:hint="eastAsia"/>
        </w:rPr>
        <w:t>本标准根据GB/T1.1-20</w:t>
      </w:r>
      <w:r>
        <w:rPr>
          <w:rFonts w:hint="eastAsia"/>
          <w:lang w:val="en-US" w:eastAsia="zh-CN"/>
        </w:rPr>
        <w:t>2</w:t>
      </w:r>
      <w:r>
        <w:rPr>
          <w:rFonts w:hint="eastAsia"/>
        </w:rPr>
        <w:t>0《标准化工作导则第1部分：标准的结构和编写规则》要求编写。</w:t>
      </w:r>
    </w:p>
    <w:p>
      <w:pPr>
        <w:pStyle w:val="12"/>
        <w:ind w:firstLine="420"/>
        <w:rPr>
          <w:rFonts w:hint="eastAsia"/>
        </w:rPr>
      </w:pPr>
      <w:r>
        <w:rPr>
          <w:rFonts w:hint="eastAsia"/>
        </w:rPr>
        <w:t>本标准</w:t>
      </w:r>
      <w:r>
        <w:rPr>
          <w:rFonts w:hint="eastAsia"/>
          <w:lang w:val="en-US" w:eastAsia="zh-CN"/>
        </w:rPr>
        <w:t>由伊犁州农业农村局提出</w:t>
      </w:r>
      <w:r>
        <w:rPr>
          <w:rFonts w:hint="eastAsia"/>
        </w:rPr>
        <w:t>。</w:t>
      </w:r>
    </w:p>
    <w:p>
      <w:pPr>
        <w:pStyle w:val="12"/>
        <w:ind w:firstLine="420"/>
        <w:rPr>
          <w:rFonts w:hint="eastAsia"/>
          <w:lang w:eastAsia="zh-CN"/>
        </w:rPr>
      </w:pPr>
      <w:r>
        <w:rPr>
          <w:rFonts w:hint="eastAsia"/>
        </w:rPr>
        <w:t>本标准由</w:t>
      </w:r>
      <w:r>
        <w:rPr>
          <w:rFonts w:hint="eastAsia"/>
          <w:lang w:val="en-US" w:eastAsia="zh-CN"/>
        </w:rPr>
        <w:t>伊犁州农业农村局</w:t>
      </w:r>
      <w:r>
        <w:rPr>
          <w:rFonts w:hint="eastAsia"/>
        </w:rPr>
        <w:t>归口</w:t>
      </w:r>
      <w:r>
        <w:rPr>
          <w:rFonts w:hint="eastAsia"/>
          <w:lang w:eastAsia="zh-CN"/>
        </w:rPr>
        <w:t>。</w:t>
      </w:r>
    </w:p>
    <w:p>
      <w:pPr>
        <w:pStyle w:val="12"/>
        <w:ind w:firstLine="420"/>
        <w:rPr>
          <w:rFonts w:hint="eastAsia"/>
        </w:rPr>
      </w:pPr>
    </w:p>
    <w:p>
      <w:pPr>
        <w:pStyle w:val="12"/>
        <w:ind w:firstLine="420"/>
        <w:rPr>
          <w:rFonts w:hint="eastAsia"/>
        </w:rPr>
      </w:pPr>
      <w:r>
        <w:rPr>
          <w:rFonts w:hint="eastAsia"/>
        </w:rPr>
        <w:t>本标准起草单位：</w:t>
      </w:r>
      <w:r>
        <w:rPr>
          <w:rFonts w:hint="eastAsia"/>
          <w:lang w:val="en-US" w:eastAsia="zh-CN"/>
        </w:rPr>
        <w:t>伊犁州农业科学研究所</w:t>
      </w:r>
      <w:r>
        <w:rPr>
          <w:rFonts w:hint="eastAsia"/>
        </w:rPr>
        <w:t>。</w:t>
      </w:r>
    </w:p>
    <w:p>
      <w:pPr>
        <w:pStyle w:val="12"/>
        <w:ind w:firstLine="420"/>
        <w:rPr>
          <w:rFonts w:hint="eastAsia"/>
        </w:rPr>
      </w:pPr>
      <w:r>
        <w:rPr>
          <w:rFonts w:hint="eastAsia"/>
        </w:rPr>
        <w:t>本标准主要起草人：</w:t>
      </w:r>
      <w:r>
        <w:rPr>
          <w:rFonts w:hint="eastAsia"/>
          <w:lang w:val="en-US" w:eastAsia="zh-CN"/>
        </w:rPr>
        <w:t>彭云承</w:t>
      </w:r>
      <w:r>
        <w:rPr>
          <w:rFonts w:hint="eastAsia"/>
        </w:rPr>
        <w:t>、</w:t>
      </w:r>
      <w:r>
        <w:rPr>
          <w:rFonts w:hint="eastAsia"/>
          <w:lang w:val="en-US" w:eastAsia="zh-CN"/>
        </w:rPr>
        <w:t>玛力帕提</w:t>
      </w:r>
      <w:r>
        <w:rPr>
          <w:rFonts w:hint="eastAsia" w:ascii="宋体" w:hAnsi="宋体" w:eastAsia="宋体" w:cs="宋体"/>
          <w:lang w:val="en-US" w:eastAsia="zh-CN"/>
        </w:rPr>
        <w:t>·</w:t>
      </w:r>
      <w:r>
        <w:rPr>
          <w:rFonts w:hint="eastAsia"/>
          <w:lang w:val="en-US" w:eastAsia="zh-CN"/>
        </w:rPr>
        <w:t>努尔太</w:t>
      </w:r>
      <w:r>
        <w:rPr>
          <w:rFonts w:hint="eastAsia"/>
        </w:rPr>
        <w:t>、</w:t>
      </w:r>
      <w:r>
        <w:rPr>
          <w:rFonts w:hint="eastAsia"/>
          <w:lang w:val="en-US" w:eastAsia="zh-CN"/>
        </w:rPr>
        <w:t>曹禹、付文君</w:t>
      </w:r>
      <w:r>
        <w:rPr>
          <w:rFonts w:hint="eastAsia"/>
        </w:rPr>
        <w:t>。</w:t>
      </w: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firstLine="420"/>
      </w:pPr>
    </w:p>
    <w:p>
      <w:pPr>
        <w:pStyle w:val="12"/>
        <w:ind w:left="0" w:leftChars="0" w:firstLine="0" w:firstLineChars="0"/>
        <w:jc w:val="center"/>
        <w:rPr>
          <w:rFonts w:hint="eastAsia"/>
          <w:b/>
          <w:bCs/>
          <w:sz w:val="36"/>
          <w:szCs w:val="36"/>
          <w:lang w:val="en-US" w:eastAsia="zh-CN"/>
        </w:rPr>
      </w:pPr>
    </w:p>
    <w:p>
      <w:pPr>
        <w:pStyle w:val="12"/>
        <w:ind w:left="0" w:leftChars="0" w:firstLine="0" w:firstLineChars="0"/>
        <w:jc w:val="center"/>
        <w:rPr>
          <w:rFonts w:hint="eastAsia"/>
          <w:b/>
          <w:bCs/>
          <w:sz w:val="36"/>
          <w:szCs w:val="36"/>
          <w:lang w:val="en-US" w:eastAsia="zh-CN"/>
        </w:rPr>
      </w:pPr>
      <w:r>
        <w:rPr>
          <w:rFonts w:hint="eastAsia"/>
          <w:b/>
          <w:bCs/>
          <w:sz w:val="36"/>
          <w:szCs w:val="36"/>
          <w:lang w:val="en-US" w:eastAsia="zh-CN"/>
        </w:rPr>
        <w:t>红花加工技术规范</w:t>
      </w:r>
    </w:p>
    <w:p>
      <w:pPr>
        <w:pStyle w:val="12"/>
        <w:ind w:left="0" w:leftChars="0" w:firstLine="0" w:firstLineChars="0"/>
        <w:rPr>
          <w:rFonts w:hint="eastAsia"/>
          <w:lang w:val="en-US" w:eastAsia="zh-CN"/>
        </w:rPr>
      </w:pPr>
    </w:p>
    <w:p>
      <w:pPr>
        <w:pStyle w:val="12"/>
        <w:ind w:left="0" w:leftChars="0" w:firstLine="0" w:firstLineChars="0"/>
        <w:rPr>
          <w:rFonts w:hint="eastAsia"/>
          <w:b/>
          <w:bCs/>
          <w:sz w:val="24"/>
          <w:szCs w:val="24"/>
          <w:lang w:val="en-US" w:eastAsia="zh-CN"/>
        </w:rPr>
      </w:pPr>
      <w:r>
        <w:rPr>
          <w:rFonts w:hint="eastAsia"/>
          <w:b/>
          <w:bCs/>
          <w:sz w:val="24"/>
          <w:szCs w:val="24"/>
          <w:lang w:val="en-US" w:eastAsia="zh-CN"/>
        </w:rPr>
        <w:t>1 范围</w:t>
      </w:r>
    </w:p>
    <w:p>
      <w:pPr>
        <w:pStyle w:val="12"/>
        <w:ind w:left="0" w:leftChars="0" w:firstLine="0" w:firstLineChars="0"/>
        <w:rPr>
          <w:rFonts w:hint="eastAsia"/>
          <w:b/>
          <w:bCs/>
          <w:sz w:val="24"/>
          <w:szCs w:val="24"/>
          <w:lang w:val="en-US" w:eastAsia="zh-CN"/>
        </w:rPr>
      </w:pPr>
    </w:p>
    <w:p>
      <w:pPr>
        <w:widowControl/>
        <w:snapToGrid w:val="0"/>
        <w:spacing w:line="360" w:lineRule="auto"/>
        <w:jc w:val="left"/>
        <w:rPr>
          <w:rFonts w:hint="eastAsia"/>
          <w:b w:val="0"/>
          <w:bCs/>
          <w:color w:val="000000"/>
          <w:kern w:val="0"/>
          <w:szCs w:val="21"/>
          <w:lang w:val="en-US" w:eastAsia="zh-CN"/>
        </w:rPr>
      </w:pPr>
      <w:r>
        <w:rPr>
          <w:rFonts w:hint="eastAsia"/>
          <w:b w:val="0"/>
          <w:bCs w:val="0"/>
          <w:sz w:val="24"/>
          <w:szCs w:val="24"/>
          <w:lang w:val="en-US" w:eastAsia="zh-CN"/>
        </w:rPr>
        <w:t xml:space="preserve">  </w:t>
      </w:r>
      <w:r>
        <w:rPr>
          <w:rFonts w:hint="eastAsia"/>
          <w:b w:val="0"/>
          <w:bCs/>
          <w:color w:val="000000"/>
          <w:kern w:val="0"/>
          <w:szCs w:val="21"/>
          <w:lang w:val="en-US" w:eastAsia="zh-CN"/>
        </w:rPr>
        <w:t>本标准规定了红花采收过程中从采收、晾晒、烘干、分拣、包装、储运等环节的红花加工过程。</w:t>
      </w:r>
    </w:p>
    <w:p>
      <w:pPr>
        <w:widowControl/>
        <w:snapToGrid w:val="0"/>
        <w:spacing w:line="360" w:lineRule="auto"/>
        <w:ind w:firstLine="210" w:firstLineChars="100"/>
        <w:jc w:val="left"/>
        <w:rPr>
          <w:rFonts w:hint="eastAsia"/>
          <w:b/>
          <w:color w:val="000000"/>
          <w:kern w:val="0"/>
          <w:szCs w:val="21"/>
          <w:lang w:val="en-US" w:eastAsia="zh-CN"/>
        </w:rPr>
      </w:pPr>
      <w:r>
        <w:rPr>
          <w:rFonts w:hint="eastAsia"/>
          <w:b w:val="0"/>
          <w:bCs/>
          <w:color w:val="000000"/>
          <w:kern w:val="0"/>
          <w:szCs w:val="21"/>
          <w:lang w:val="en-US" w:eastAsia="zh-CN"/>
        </w:rPr>
        <w:t>本标准适应于伊犁州红花种植区。</w:t>
      </w:r>
    </w:p>
    <w:p>
      <w:pPr>
        <w:widowControl/>
        <w:snapToGrid w:val="0"/>
        <w:spacing w:line="360" w:lineRule="auto"/>
        <w:jc w:val="left"/>
        <w:rPr>
          <w:rFonts w:hint="eastAsia"/>
          <w:b w:val="0"/>
          <w:bCs w:val="0"/>
          <w:sz w:val="24"/>
          <w:szCs w:val="24"/>
          <w:lang w:val="en-US" w:eastAsia="zh-CN"/>
        </w:rPr>
      </w:pPr>
      <w:r>
        <w:rPr>
          <w:rFonts w:hint="eastAsia"/>
          <w:b/>
          <w:color w:val="000000"/>
          <w:kern w:val="0"/>
          <w:szCs w:val="21"/>
          <w:lang w:val="en-US" w:eastAsia="zh-CN"/>
        </w:rPr>
        <w:t>2 规范性引用文件</w:t>
      </w:r>
    </w:p>
    <w:p>
      <w:pPr>
        <w:widowControl/>
        <w:snapToGrid w:val="0"/>
        <w:spacing w:line="360" w:lineRule="auto"/>
        <w:jc w:val="left"/>
        <w:rPr>
          <w:rFonts w:hint="eastAsia"/>
          <w:b w:val="0"/>
          <w:bCs/>
          <w:color w:val="000000"/>
          <w:kern w:val="0"/>
          <w:szCs w:val="21"/>
          <w:lang w:val="en-US" w:eastAsia="zh-CN"/>
        </w:rPr>
      </w:pPr>
      <w:r>
        <w:rPr>
          <w:rFonts w:hint="eastAsia"/>
          <w:b w:val="0"/>
          <w:bCs/>
          <w:color w:val="000000"/>
          <w:kern w:val="0"/>
          <w:szCs w:val="21"/>
          <w:lang w:val="en-US" w:eastAsia="zh-CN"/>
        </w:rPr>
        <w:t xml:space="preserve"> 下列文件中的条款通过本标准的引用而成为本标准的条款。凡是注日期的引用文件，仅该日期对应的版本实用于本文件；凡是不注日期的引用文件，其最新版本（包括所有的修改单）适用于本文本。</w:t>
      </w:r>
    </w:p>
    <w:p>
      <w:pPr>
        <w:widowControl/>
        <w:snapToGrid w:val="0"/>
        <w:spacing w:line="360" w:lineRule="auto"/>
        <w:jc w:val="left"/>
        <w:rPr>
          <w:rFonts w:hint="eastAsia"/>
          <w:b w:val="0"/>
          <w:bCs/>
          <w:color w:val="000000"/>
          <w:kern w:val="0"/>
          <w:szCs w:val="21"/>
          <w:lang w:val="en-US" w:eastAsia="zh-CN"/>
        </w:rPr>
      </w:pPr>
      <w:r>
        <w:rPr>
          <w:rFonts w:hint="eastAsia"/>
          <w:b w:val="0"/>
          <w:bCs/>
          <w:color w:val="000000"/>
          <w:kern w:val="0"/>
          <w:szCs w:val="21"/>
          <w:lang w:val="en-US" w:eastAsia="zh-CN"/>
        </w:rPr>
        <w:t>GB3095环境空气质量标准。</w:t>
      </w:r>
    </w:p>
    <w:p>
      <w:pPr>
        <w:widowControl/>
        <w:snapToGrid w:val="0"/>
        <w:spacing w:line="360" w:lineRule="auto"/>
        <w:jc w:val="left"/>
        <w:rPr>
          <w:rFonts w:hint="eastAsia"/>
          <w:b w:val="0"/>
          <w:bCs/>
          <w:color w:val="000000"/>
          <w:kern w:val="0"/>
          <w:szCs w:val="21"/>
          <w:lang w:val="en-US" w:eastAsia="zh-CN"/>
        </w:rPr>
      </w:pPr>
      <w:r>
        <w:rPr>
          <w:rFonts w:hint="default"/>
          <w:b w:val="0"/>
          <w:bCs/>
          <w:color w:val="000000"/>
          <w:kern w:val="0"/>
          <w:szCs w:val="21"/>
          <w:lang w:val="en-US" w:eastAsia="zh-CN"/>
        </w:rPr>
        <w:t xml:space="preserve">GB 5084 </w:t>
      </w:r>
      <w:r>
        <w:rPr>
          <w:rFonts w:hint="eastAsia"/>
          <w:b w:val="0"/>
          <w:bCs/>
          <w:color w:val="000000"/>
          <w:kern w:val="0"/>
          <w:szCs w:val="21"/>
          <w:lang w:val="en-US" w:eastAsia="zh-CN"/>
        </w:rPr>
        <w:t xml:space="preserve">农田灌溉水质标准 </w:t>
      </w:r>
    </w:p>
    <w:p>
      <w:pPr>
        <w:widowControl/>
        <w:snapToGrid w:val="0"/>
        <w:spacing w:line="360" w:lineRule="auto"/>
        <w:jc w:val="left"/>
        <w:rPr>
          <w:rFonts w:hint="eastAsia"/>
          <w:b w:val="0"/>
          <w:bCs/>
          <w:color w:val="000000"/>
          <w:kern w:val="0"/>
          <w:szCs w:val="21"/>
          <w:lang w:val="en-US" w:eastAsia="zh-CN"/>
        </w:rPr>
      </w:pPr>
      <w:r>
        <w:rPr>
          <w:rFonts w:hint="default"/>
          <w:b w:val="0"/>
          <w:bCs/>
          <w:color w:val="000000"/>
          <w:kern w:val="0"/>
          <w:szCs w:val="21"/>
          <w:lang w:val="en-US" w:eastAsia="zh-CN"/>
        </w:rPr>
        <w:t xml:space="preserve">GB 15618 </w:t>
      </w:r>
      <w:r>
        <w:rPr>
          <w:rFonts w:hint="eastAsia"/>
          <w:b w:val="0"/>
          <w:bCs/>
          <w:color w:val="000000"/>
          <w:kern w:val="0"/>
          <w:szCs w:val="21"/>
          <w:lang w:val="en-US" w:eastAsia="zh-CN"/>
        </w:rPr>
        <w:t>土壤环境质量 农用地土壤污染风险管控标准</w:t>
      </w:r>
      <w:r>
        <w:rPr>
          <w:rFonts w:hint="default"/>
          <w:b w:val="0"/>
          <w:bCs/>
          <w:color w:val="000000"/>
          <w:kern w:val="0"/>
          <w:szCs w:val="21"/>
          <w:lang w:val="en-US" w:eastAsia="zh-CN"/>
        </w:rPr>
        <w:t>(</w:t>
      </w:r>
      <w:r>
        <w:rPr>
          <w:rFonts w:hint="eastAsia"/>
          <w:b w:val="0"/>
          <w:bCs/>
          <w:color w:val="000000"/>
          <w:kern w:val="0"/>
          <w:szCs w:val="21"/>
          <w:lang w:val="en-US" w:eastAsia="zh-CN"/>
        </w:rPr>
        <w:t>试行</w:t>
      </w:r>
      <w:r>
        <w:rPr>
          <w:rFonts w:hint="default"/>
          <w:b w:val="0"/>
          <w:bCs/>
          <w:color w:val="000000"/>
          <w:kern w:val="0"/>
          <w:szCs w:val="21"/>
          <w:lang w:val="en-US" w:eastAsia="zh-CN"/>
        </w:rPr>
        <w:t xml:space="preserve">) </w:t>
      </w:r>
    </w:p>
    <w:p>
      <w:pPr>
        <w:widowControl/>
        <w:snapToGrid w:val="0"/>
        <w:spacing w:line="360" w:lineRule="auto"/>
        <w:jc w:val="left"/>
        <w:rPr>
          <w:rFonts w:hint="eastAsia"/>
          <w:b w:val="0"/>
          <w:bCs/>
          <w:color w:val="000000"/>
          <w:kern w:val="0"/>
          <w:szCs w:val="21"/>
          <w:lang w:val="en-US" w:eastAsia="zh-CN"/>
        </w:rPr>
      </w:pPr>
      <w:r>
        <w:rPr>
          <w:rFonts w:hint="default"/>
          <w:b w:val="0"/>
          <w:bCs/>
          <w:color w:val="000000"/>
          <w:kern w:val="0"/>
          <w:szCs w:val="21"/>
          <w:lang w:val="en-US" w:eastAsia="zh-CN"/>
        </w:rPr>
        <w:t xml:space="preserve">NY/T 393 </w:t>
      </w:r>
      <w:r>
        <w:rPr>
          <w:rFonts w:hint="eastAsia"/>
          <w:b w:val="0"/>
          <w:bCs/>
          <w:color w:val="000000"/>
          <w:kern w:val="0"/>
          <w:szCs w:val="21"/>
          <w:lang w:val="en-US" w:eastAsia="zh-CN"/>
        </w:rPr>
        <w:t xml:space="preserve">绿色食品 农药使用准则 </w:t>
      </w:r>
    </w:p>
    <w:p>
      <w:pPr>
        <w:widowControl/>
        <w:snapToGrid w:val="0"/>
        <w:spacing w:line="360" w:lineRule="auto"/>
        <w:jc w:val="left"/>
        <w:rPr>
          <w:rFonts w:hint="eastAsia"/>
          <w:b w:val="0"/>
          <w:bCs/>
          <w:color w:val="000000"/>
          <w:kern w:val="0"/>
          <w:szCs w:val="21"/>
          <w:lang w:val="en-US" w:eastAsia="zh-CN"/>
        </w:rPr>
      </w:pPr>
      <w:r>
        <w:rPr>
          <w:rFonts w:hint="default"/>
          <w:b w:val="0"/>
          <w:bCs/>
          <w:color w:val="000000"/>
          <w:kern w:val="0"/>
          <w:szCs w:val="21"/>
          <w:lang w:val="en-US" w:eastAsia="zh-CN"/>
        </w:rPr>
        <w:t xml:space="preserve">NY/T 496 </w:t>
      </w:r>
      <w:r>
        <w:rPr>
          <w:rFonts w:hint="eastAsia"/>
          <w:b w:val="0"/>
          <w:bCs/>
          <w:color w:val="000000"/>
          <w:kern w:val="0"/>
          <w:szCs w:val="21"/>
          <w:lang w:val="en-US" w:eastAsia="zh-CN"/>
        </w:rPr>
        <w:t>肥料合理使用准则 通则</w:t>
      </w:r>
    </w:p>
    <w:p>
      <w:pPr>
        <w:widowControl/>
        <w:snapToGrid w:val="0"/>
        <w:spacing w:line="360" w:lineRule="auto"/>
        <w:jc w:val="left"/>
        <w:rPr>
          <w:rFonts w:hint="eastAsia"/>
          <w:b w:val="0"/>
          <w:bCs/>
          <w:color w:val="000000"/>
          <w:kern w:val="0"/>
          <w:szCs w:val="21"/>
          <w:lang w:val="en-US" w:eastAsia="zh-CN"/>
        </w:rPr>
      </w:pPr>
      <w:r>
        <w:rPr>
          <w:rFonts w:hint="eastAsia"/>
          <w:b w:val="0"/>
          <w:bCs/>
          <w:color w:val="000000"/>
          <w:kern w:val="0"/>
          <w:szCs w:val="21"/>
          <w:lang w:val="en-US" w:eastAsia="zh-CN"/>
        </w:rPr>
        <w:t>GB/T8946    塑料编织袋。</w:t>
      </w:r>
    </w:p>
    <w:p>
      <w:pPr>
        <w:widowControl/>
        <w:snapToGrid w:val="0"/>
        <w:spacing w:line="360" w:lineRule="auto"/>
        <w:jc w:val="left"/>
        <w:rPr>
          <w:rFonts w:hint="eastAsia"/>
          <w:b w:val="0"/>
          <w:bCs/>
          <w:color w:val="000000"/>
          <w:kern w:val="0"/>
          <w:szCs w:val="21"/>
          <w:lang w:val="en-US" w:eastAsia="zh-CN"/>
        </w:rPr>
      </w:pPr>
      <w:r>
        <w:rPr>
          <w:rFonts w:hint="eastAsia"/>
          <w:b w:val="0"/>
          <w:bCs/>
          <w:color w:val="000000"/>
          <w:kern w:val="0"/>
          <w:szCs w:val="21"/>
          <w:lang w:val="en-US" w:eastAsia="zh-CN"/>
        </w:rPr>
        <w:t>NY/T658绿色食品  包装通用准则</w:t>
      </w:r>
    </w:p>
    <w:p>
      <w:pPr>
        <w:widowControl/>
        <w:snapToGrid w:val="0"/>
        <w:spacing w:line="360" w:lineRule="auto"/>
        <w:jc w:val="left"/>
        <w:rPr>
          <w:rFonts w:hint="eastAsia"/>
          <w:b w:val="0"/>
          <w:bCs/>
          <w:color w:val="000000"/>
          <w:kern w:val="0"/>
          <w:szCs w:val="21"/>
          <w:lang w:val="en-US" w:eastAsia="zh-CN"/>
        </w:rPr>
      </w:pPr>
      <w:r>
        <w:rPr>
          <w:rFonts w:hint="eastAsia"/>
          <w:b w:val="0"/>
          <w:bCs/>
          <w:color w:val="000000"/>
          <w:kern w:val="0"/>
          <w:szCs w:val="21"/>
          <w:lang w:val="en-US" w:eastAsia="zh-CN"/>
        </w:rPr>
        <w:t>NY/T1056绿色食品  贮藏运输准则</w:t>
      </w:r>
    </w:p>
    <w:p>
      <w:pPr>
        <w:widowControl/>
        <w:snapToGrid w:val="0"/>
        <w:spacing w:line="360" w:lineRule="auto"/>
        <w:jc w:val="left"/>
        <w:rPr>
          <w:rFonts w:hint="eastAsia"/>
          <w:b/>
          <w:color w:val="000000"/>
          <w:kern w:val="0"/>
          <w:szCs w:val="21"/>
          <w:lang w:val="en-US" w:eastAsia="zh-CN"/>
        </w:rPr>
      </w:pPr>
      <w:r>
        <w:rPr>
          <w:rFonts w:hint="eastAsia"/>
          <w:b/>
          <w:color w:val="000000"/>
          <w:kern w:val="0"/>
          <w:szCs w:val="21"/>
          <w:lang w:val="en-US" w:eastAsia="zh-CN"/>
        </w:rPr>
        <w:t>3 术语</w:t>
      </w:r>
    </w:p>
    <w:p>
      <w:pPr>
        <w:widowControl/>
        <w:snapToGrid w:val="0"/>
        <w:spacing w:line="360" w:lineRule="auto"/>
        <w:jc w:val="left"/>
        <w:rPr>
          <w:rFonts w:hint="eastAsia"/>
          <w:b/>
          <w:color w:val="000000"/>
          <w:kern w:val="0"/>
          <w:szCs w:val="21"/>
          <w:lang w:val="en-US" w:eastAsia="zh-CN"/>
        </w:rPr>
      </w:pPr>
      <w:r>
        <w:rPr>
          <w:rFonts w:hint="eastAsia"/>
          <w:b/>
          <w:color w:val="000000"/>
          <w:kern w:val="0"/>
          <w:szCs w:val="21"/>
          <w:lang w:val="en-US" w:eastAsia="zh-CN"/>
        </w:rPr>
        <w:t>3.1红花</w:t>
      </w:r>
    </w:p>
    <w:p>
      <w:pPr>
        <w:rPr>
          <w:rFonts w:hint="eastAsia" w:ascii="Times New Roman" w:hAnsi="Arial" w:eastAsia="宋体" w:cs="Times New Roman"/>
          <w:kern w:val="0"/>
          <w:sz w:val="21"/>
          <w:szCs w:val="22"/>
          <w:lang w:val="en-US" w:eastAsia="zh-CN" w:bidi="ar-SA"/>
        </w:rPr>
      </w:pPr>
      <w:r>
        <w:rPr>
          <w:rFonts w:hint="eastAsia" w:ascii="Times New Roman" w:hAnsi="Arial" w:eastAsia="宋体" w:cs="Times New Roman"/>
          <w:kern w:val="0"/>
          <w:sz w:val="21"/>
          <w:szCs w:val="22"/>
          <w:lang w:val="en-US" w:eastAsia="zh-CN" w:bidi="ar-SA"/>
        </w:rPr>
        <w:t>本品为菊科植物红花 Carthamus tinctorius L.的干燥花。夏季花由黄变红时采摘，阴干或晒干。</w:t>
      </w:r>
    </w:p>
    <w:p>
      <w:pPr>
        <w:widowControl/>
        <w:snapToGrid w:val="0"/>
        <w:spacing w:line="360" w:lineRule="auto"/>
        <w:jc w:val="left"/>
        <w:rPr>
          <w:rFonts w:hint="eastAsia"/>
          <w:b/>
          <w:color w:val="000000"/>
          <w:kern w:val="0"/>
          <w:szCs w:val="21"/>
          <w:lang w:val="en-US" w:eastAsia="zh-CN"/>
        </w:rPr>
      </w:pPr>
      <w:r>
        <w:rPr>
          <w:rFonts w:hint="eastAsia"/>
          <w:b/>
          <w:color w:val="000000"/>
          <w:kern w:val="0"/>
          <w:szCs w:val="21"/>
          <w:lang w:val="en-US" w:eastAsia="zh-CN"/>
        </w:rPr>
        <w:t>3.2产地</w:t>
      </w:r>
    </w:p>
    <w:p>
      <w:pPr>
        <w:widowControl/>
        <w:snapToGrid w:val="0"/>
        <w:spacing w:line="360" w:lineRule="auto"/>
        <w:jc w:val="left"/>
        <w:rPr>
          <w:rFonts w:hint="default"/>
          <w:b w:val="0"/>
          <w:bCs/>
          <w:color w:val="000000"/>
          <w:kern w:val="0"/>
          <w:szCs w:val="21"/>
          <w:lang w:val="en-US" w:eastAsia="zh-CN"/>
        </w:rPr>
      </w:pPr>
      <w:r>
        <w:rPr>
          <w:rFonts w:hint="eastAsia"/>
          <w:b w:val="0"/>
          <w:bCs/>
          <w:color w:val="000000"/>
          <w:kern w:val="0"/>
          <w:szCs w:val="21"/>
          <w:lang w:val="en-US" w:eastAsia="zh-CN"/>
        </w:rPr>
        <w:t>指生产在本地的，不需要运输到外地进行加工。</w:t>
      </w:r>
    </w:p>
    <w:p>
      <w:pPr>
        <w:widowControl/>
        <w:snapToGrid w:val="0"/>
        <w:spacing w:line="360" w:lineRule="auto"/>
        <w:jc w:val="left"/>
        <w:rPr>
          <w:rFonts w:hint="eastAsia"/>
          <w:b/>
          <w:color w:val="000000"/>
          <w:kern w:val="0"/>
          <w:szCs w:val="21"/>
          <w:lang w:val="en-US" w:eastAsia="zh-CN"/>
        </w:rPr>
      </w:pPr>
      <w:r>
        <w:rPr>
          <w:rFonts w:hint="eastAsia"/>
          <w:b/>
          <w:color w:val="000000"/>
          <w:kern w:val="0"/>
          <w:szCs w:val="21"/>
          <w:lang w:val="en-US" w:eastAsia="zh-CN"/>
        </w:rPr>
        <w:t xml:space="preserve">4产地环境 </w:t>
      </w:r>
    </w:p>
    <w:p>
      <w:pPr>
        <w:widowControl/>
        <w:snapToGrid w:val="0"/>
        <w:spacing w:line="360" w:lineRule="auto"/>
        <w:jc w:val="left"/>
        <w:rPr>
          <w:rFonts w:hint="eastAsia"/>
          <w:b w:val="0"/>
          <w:bCs/>
          <w:color w:val="000000"/>
          <w:kern w:val="0"/>
          <w:szCs w:val="21"/>
          <w:lang w:val="en-US" w:eastAsia="zh-CN"/>
        </w:rPr>
      </w:pPr>
      <w:r>
        <w:rPr>
          <w:rFonts w:hint="eastAsia"/>
          <w:b w:val="0"/>
          <w:bCs/>
          <w:color w:val="000000"/>
          <w:kern w:val="0"/>
          <w:szCs w:val="21"/>
          <w:lang w:val="en-US" w:eastAsia="zh-CN"/>
        </w:rPr>
        <w:t>选择地势较平坦、土层深厚、质地较疏松、通透性良好、排灌方便的耕地种植。农田灌溉水质应符合</w:t>
      </w:r>
      <w:r>
        <w:rPr>
          <w:rFonts w:hint="default"/>
          <w:b w:val="0"/>
          <w:bCs/>
          <w:color w:val="000000"/>
          <w:kern w:val="0"/>
          <w:szCs w:val="21"/>
          <w:lang w:val="en-US" w:eastAsia="zh-CN"/>
        </w:rPr>
        <w:t>GB 5084</w:t>
      </w:r>
      <w:r>
        <w:rPr>
          <w:rFonts w:hint="eastAsia"/>
          <w:b w:val="0"/>
          <w:bCs/>
          <w:color w:val="000000"/>
          <w:kern w:val="0"/>
          <w:szCs w:val="21"/>
          <w:lang w:val="en-US" w:eastAsia="zh-CN"/>
        </w:rPr>
        <w:t>标准的规定，土壤环境质量应符合</w:t>
      </w:r>
      <w:r>
        <w:rPr>
          <w:rFonts w:hint="default"/>
          <w:b w:val="0"/>
          <w:bCs/>
          <w:color w:val="000000"/>
          <w:kern w:val="0"/>
          <w:szCs w:val="21"/>
          <w:lang w:val="en-US" w:eastAsia="zh-CN"/>
        </w:rPr>
        <w:t>GB 15618</w:t>
      </w:r>
      <w:r>
        <w:rPr>
          <w:rFonts w:hint="eastAsia"/>
          <w:b w:val="0"/>
          <w:bCs/>
          <w:color w:val="000000"/>
          <w:kern w:val="0"/>
          <w:szCs w:val="21"/>
          <w:lang w:val="en-US" w:eastAsia="zh-CN"/>
        </w:rPr>
        <w:t xml:space="preserve">标准的规定。 </w:t>
      </w:r>
    </w:p>
    <w:p>
      <w:pPr>
        <w:widowControl/>
        <w:snapToGrid w:val="0"/>
        <w:spacing w:line="360" w:lineRule="auto"/>
        <w:jc w:val="left"/>
        <w:rPr>
          <w:rFonts w:hint="eastAsia"/>
          <w:b/>
          <w:color w:val="000000"/>
          <w:kern w:val="0"/>
          <w:szCs w:val="21"/>
          <w:lang w:val="en-US" w:eastAsia="zh-CN"/>
        </w:rPr>
      </w:pPr>
      <w:r>
        <w:rPr>
          <w:rFonts w:hint="eastAsia"/>
          <w:b/>
          <w:color w:val="000000"/>
          <w:kern w:val="0"/>
          <w:szCs w:val="21"/>
          <w:lang w:val="en-US" w:eastAsia="zh-CN"/>
        </w:rPr>
        <w:t>4.1空气条件</w:t>
      </w:r>
    </w:p>
    <w:p>
      <w:pPr>
        <w:widowControl/>
        <w:snapToGrid w:val="0"/>
        <w:spacing w:line="360" w:lineRule="auto"/>
        <w:jc w:val="left"/>
        <w:rPr>
          <w:rFonts w:hint="eastAsia"/>
          <w:b w:val="0"/>
          <w:bCs/>
          <w:color w:val="000000"/>
          <w:kern w:val="0"/>
          <w:szCs w:val="21"/>
          <w:lang w:val="en-US" w:eastAsia="zh-CN"/>
        </w:rPr>
      </w:pPr>
      <w:r>
        <w:rPr>
          <w:rFonts w:hint="eastAsia"/>
          <w:b/>
          <w:color w:val="000000"/>
          <w:kern w:val="0"/>
          <w:szCs w:val="21"/>
          <w:lang w:val="en-US" w:eastAsia="zh-CN"/>
        </w:rPr>
        <w:t xml:space="preserve">    </w:t>
      </w:r>
      <w:r>
        <w:rPr>
          <w:rFonts w:hint="eastAsia"/>
          <w:b w:val="0"/>
          <w:bCs/>
          <w:color w:val="000000"/>
          <w:kern w:val="0"/>
          <w:szCs w:val="21"/>
          <w:lang w:val="en-US" w:eastAsia="zh-CN"/>
        </w:rPr>
        <w:t>应符合GB3095的规定。</w:t>
      </w:r>
    </w:p>
    <w:p>
      <w:pPr>
        <w:widowControl/>
        <w:snapToGrid w:val="0"/>
        <w:spacing w:line="360" w:lineRule="auto"/>
        <w:jc w:val="left"/>
        <w:rPr>
          <w:rFonts w:hint="eastAsia"/>
          <w:b/>
          <w:color w:val="000000"/>
          <w:kern w:val="0"/>
          <w:szCs w:val="21"/>
          <w:lang w:val="en-US" w:eastAsia="zh-CN"/>
        </w:rPr>
      </w:pPr>
      <w:r>
        <w:rPr>
          <w:rFonts w:hint="eastAsia"/>
          <w:b/>
          <w:color w:val="000000"/>
          <w:kern w:val="0"/>
          <w:szCs w:val="21"/>
          <w:lang w:val="en-US" w:eastAsia="zh-CN"/>
        </w:rPr>
        <w:t>4.2土壤条件</w:t>
      </w:r>
    </w:p>
    <w:p>
      <w:pPr>
        <w:widowControl/>
        <w:snapToGrid w:val="0"/>
        <w:spacing w:line="360" w:lineRule="auto"/>
        <w:jc w:val="left"/>
        <w:rPr>
          <w:rFonts w:hint="eastAsia"/>
          <w:b/>
          <w:color w:val="000000"/>
          <w:kern w:val="0"/>
          <w:szCs w:val="21"/>
          <w:lang w:val="en-US" w:eastAsia="zh-CN"/>
        </w:rPr>
      </w:pPr>
      <w:r>
        <w:rPr>
          <w:rFonts w:hint="eastAsia"/>
          <w:b/>
          <w:color w:val="000000"/>
          <w:kern w:val="0"/>
          <w:szCs w:val="21"/>
          <w:lang w:val="en-US" w:eastAsia="zh-CN"/>
        </w:rPr>
        <w:t xml:space="preserve">    </w:t>
      </w:r>
      <w:r>
        <w:rPr>
          <w:rFonts w:hint="eastAsia"/>
          <w:b w:val="0"/>
          <w:bCs/>
          <w:color w:val="000000"/>
          <w:kern w:val="0"/>
          <w:szCs w:val="21"/>
          <w:lang w:val="en-US" w:eastAsia="zh-CN"/>
        </w:rPr>
        <w:t>应符合GB15618的规定。选择耕层深厚，结构良好，地面平整，排灌良好的沙壤土或灰钙土为宜。</w:t>
      </w:r>
    </w:p>
    <w:p>
      <w:pPr>
        <w:widowControl/>
        <w:snapToGrid w:val="0"/>
        <w:spacing w:line="360" w:lineRule="auto"/>
        <w:jc w:val="left"/>
        <w:rPr>
          <w:rFonts w:hint="eastAsia"/>
          <w:b/>
          <w:color w:val="000000"/>
          <w:kern w:val="0"/>
          <w:szCs w:val="21"/>
          <w:lang w:val="en-US" w:eastAsia="zh-CN"/>
        </w:rPr>
      </w:pPr>
      <w:r>
        <w:rPr>
          <w:rFonts w:hint="eastAsia"/>
          <w:b/>
          <w:color w:val="000000"/>
          <w:kern w:val="0"/>
          <w:szCs w:val="21"/>
          <w:lang w:val="en-US" w:eastAsia="zh-CN"/>
        </w:rPr>
        <w:t>4.3灌溉水条件</w:t>
      </w:r>
    </w:p>
    <w:p>
      <w:pPr>
        <w:widowControl/>
        <w:snapToGrid w:val="0"/>
        <w:spacing w:line="360" w:lineRule="auto"/>
        <w:jc w:val="left"/>
        <w:rPr>
          <w:rFonts w:hint="eastAsia"/>
          <w:b w:val="0"/>
          <w:bCs/>
          <w:color w:val="000000"/>
          <w:kern w:val="0"/>
          <w:szCs w:val="21"/>
          <w:lang w:val="en-US" w:eastAsia="zh-CN"/>
        </w:rPr>
      </w:pPr>
      <w:r>
        <w:rPr>
          <w:rFonts w:hint="eastAsia"/>
          <w:b/>
          <w:color w:val="000000"/>
          <w:kern w:val="0"/>
          <w:szCs w:val="21"/>
          <w:lang w:val="en-US" w:eastAsia="zh-CN"/>
        </w:rPr>
        <w:t xml:space="preserve">    </w:t>
      </w:r>
      <w:r>
        <w:rPr>
          <w:rFonts w:hint="eastAsia"/>
          <w:b w:val="0"/>
          <w:bCs/>
          <w:color w:val="000000"/>
          <w:kern w:val="0"/>
          <w:szCs w:val="21"/>
          <w:lang w:val="en-US" w:eastAsia="zh-CN"/>
        </w:rPr>
        <w:t>应符合GB5084的规定。</w:t>
      </w:r>
    </w:p>
    <w:p>
      <w:pPr>
        <w:widowControl/>
        <w:snapToGrid w:val="0"/>
        <w:spacing w:line="360" w:lineRule="auto"/>
        <w:jc w:val="left"/>
        <w:rPr>
          <w:rFonts w:hint="eastAsia"/>
          <w:b/>
          <w:color w:val="000000"/>
          <w:kern w:val="0"/>
          <w:szCs w:val="21"/>
          <w:lang w:val="en-US" w:eastAsia="zh-CN"/>
        </w:rPr>
      </w:pPr>
      <w:r>
        <w:rPr>
          <w:rFonts w:hint="eastAsia"/>
          <w:b/>
          <w:color w:val="000000"/>
          <w:kern w:val="0"/>
          <w:szCs w:val="21"/>
          <w:lang w:val="en-US" w:eastAsia="zh-CN"/>
        </w:rPr>
        <w:t>5 采摘</w:t>
      </w:r>
    </w:p>
    <w:p>
      <w:pPr>
        <w:widowControl/>
        <w:snapToGrid w:val="0"/>
        <w:spacing w:line="360" w:lineRule="auto"/>
        <w:jc w:val="left"/>
        <w:rPr>
          <w:rFonts w:hint="eastAsia"/>
          <w:b/>
          <w:color w:val="000000"/>
          <w:kern w:val="0"/>
          <w:szCs w:val="21"/>
          <w:lang w:val="en-US" w:eastAsia="zh-CN"/>
        </w:rPr>
      </w:pPr>
      <w:r>
        <w:rPr>
          <w:rFonts w:hint="eastAsia"/>
          <w:b/>
          <w:color w:val="000000"/>
          <w:kern w:val="0"/>
          <w:szCs w:val="21"/>
          <w:lang w:val="en-US" w:eastAsia="zh-CN"/>
        </w:rPr>
        <w:t>5.1 采摘时间</w:t>
      </w:r>
    </w:p>
    <w:p>
      <w:pPr>
        <w:pStyle w:val="12"/>
        <w:ind w:left="0" w:leftChars="0" w:firstLine="420" w:firstLineChars="0"/>
        <w:rPr>
          <w:rFonts w:hint="eastAsia"/>
          <w:lang w:val="en-US" w:eastAsia="zh-CN"/>
        </w:rPr>
      </w:pPr>
      <w:r>
        <w:rPr>
          <w:rFonts w:hint="eastAsia"/>
          <w:lang w:val="en-US" w:eastAsia="zh-CN"/>
        </w:rPr>
        <w:t>红花有30%植株开始开花即可采摘，一般在6月底至7月末。一块地隔1天采摘一次，直至采摘完毕。一般花期在一个月左右。在早晨7:00至中午2:00适宜红花采摘。红花花丝脆容易采摘。</w:t>
      </w:r>
    </w:p>
    <w:p>
      <w:pPr>
        <w:widowControl/>
        <w:snapToGrid w:val="0"/>
        <w:spacing w:line="360" w:lineRule="auto"/>
        <w:jc w:val="left"/>
        <w:rPr>
          <w:rFonts w:hint="eastAsia"/>
          <w:b/>
          <w:color w:val="000000"/>
          <w:kern w:val="0"/>
          <w:szCs w:val="21"/>
          <w:lang w:val="en-US" w:eastAsia="zh-CN"/>
        </w:rPr>
      </w:pPr>
      <w:r>
        <w:rPr>
          <w:rFonts w:hint="eastAsia"/>
          <w:b/>
          <w:color w:val="000000"/>
          <w:kern w:val="0"/>
          <w:szCs w:val="21"/>
          <w:lang w:val="en-US" w:eastAsia="zh-CN"/>
        </w:rPr>
        <w:t>5.2 采摘工具</w:t>
      </w:r>
    </w:p>
    <w:p>
      <w:pPr>
        <w:pStyle w:val="12"/>
        <w:ind w:left="0" w:leftChars="0" w:firstLine="0" w:firstLineChars="0"/>
        <w:rPr>
          <w:rFonts w:hint="eastAsia"/>
          <w:lang w:val="en-US" w:eastAsia="zh-CN"/>
        </w:rPr>
      </w:pPr>
      <w:r>
        <w:rPr>
          <w:rFonts w:hint="eastAsia"/>
          <w:lang w:val="en-US" w:eastAsia="zh-CN"/>
        </w:rPr>
        <w:t xml:space="preserve">  采用布袋或者编织袋自制一个采摘袋，系于腰部。尺寸50cm</w:t>
      </w:r>
      <w:r>
        <w:rPr>
          <w:rFonts w:hint="default" w:ascii="Arial" w:hAnsi="Arial" w:cs="Arial"/>
          <w:lang w:val="en-US" w:eastAsia="zh-CN"/>
        </w:rPr>
        <w:t>×</w:t>
      </w:r>
      <w:r>
        <w:rPr>
          <w:rFonts w:hint="eastAsia"/>
          <w:lang w:val="en-US" w:eastAsia="zh-CN"/>
        </w:rPr>
        <w:t>40cm为宜。用人工大拇指趾甲掐断红花花丝，装入自制采摘袋中，采满以后临时堆放在田间地头的布单上或其他便于晾晒的编织袋上晾晒。防止大量红花堆放出现发热现象。</w:t>
      </w:r>
    </w:p>
    <w:p>
      <w:pPr>
        <w:widowControl/>
        <w:snapToGrid w:val="0"/>
        <w:spacing w:line="360" w:lineRule="auto"/>
        <w:jc w:val="left"/>
        <w:rPr>
          <w:rFonts w:hint="eastAsia"/>
          <w:b/>
          <w:color w:val="000000"/>
          <w:kern w:val="0"/>
          <w:szCs w:val="21"/>
          <w:lang w:val="en-US" w:eastAsia="zh-CN"/>
        </w:rPr>
      </w:pPr>
      <w:r>
        <w:rPr>
          <w:rFonts w:hint="eastAsia"/>
          <w:b/>
          <w:color w:val="000000"/>
          <w:kern w:val="0"/>
          <w:szCs w:val="21"/>
          <w:lang w:val="en-US" w:eastAsia="zh-CN"/>
        </w:rPr>
        <w:t>6 红花干燥</w:t>
      </w:r>
    </w:p>
    <w:p>
      <w:pPr>
        <w:widowControl/>
        <w:snapToGrid w:val="0"/>
        <w:spacing w:line="360" w:lineRule="auto"/>
        <w:jc w:val="left"/>
        <w:rPr>
          <w:rFonts w:hint="eastAsia"/>
          <w:b/>
          <w:color w:val="000000"/>
          <w:kern w:val="0"/>
          <w:szCs w:val="21"/>
          <w:lang w:val="en-US" w:eastAsia="zh-CN"/>
        </w:rPr>
      </w:pPr>
      <w:r>
        <w:rPr>
          <w:rFonts w:hint="eastAsia"/>
          <w:lang w:val="en-US" w:eastAsia="zh-CN"/>
        </w:rPr>
        <w:t>红花干燥有两种方法，一种是晾晒，另外一种是烘干。当出现连续阴雨天气或者量大无法晾晒时可以采用烘干设备进行烘干。</w:t>
      </w:r>
    </w:p>
    <w:p>
      <w:pPr>
        <w:widowControl/>
        <w:snapToGrid w:val="0"/>
        <w:spacing w:line="360" w:lineRule="auto"/>
        <w:jc w:val="left"/>
        <w:rPr>
          <w:rFonts w:hint="eastAsia"/>
          <w:b/>
          <w:color w:val="000000"/>
          <w:kern w:val="0"/>
          <w:szCs w:val="21"/>
          <w:lang w:val="en-US" w:eastAsia="zh-CN"/>
        </w:rPr>
      </w:pPr>
      <w:r>
        <w:rPr>
          <w:rFonts w:hint="eastAsia"/>
          <w:b/>
          <w:color w:val="000000"/>
          <w:kern w:val="0"/>
          <w:szCs w:val="21"/>
          <w:lang w:val="en-US" w:eastAsia="zh-CN"/>
        </w:rPr>
        <w:t>6.1 晾晒</w:t>
      </w:r>
    </w:p>
    <w:p>
      <w:pPr>
        <w:pStyle w:val="12"/>
        <w:ind w:left="0" w:leftChars="0" w:firstLine="0" w:firstLineChars="0"/>
        <w:rPr>
          <w:rFonts w:hint="default"/>
          <w:lang w:val="en-US" w:eastAsia="zh-CN"/>
        </w:rPr>
      </w:pPr>
      <w:r>
        <w:rPr>
          <w:rFonts w:hint="eastAsia"/>
          <w:lang w:val="en-US" w:eastAsia="zh-CN"/>
        </w:rPr>
        <w:t xml:space="preserve">  采摘好的红花不能长久堆放，当堆放时间超过5小时就会出现发热现象，不及时晾晒就会出现变质。5小时以内随时采摘随时摊开晾晒。晾晒红花必须在下面铺一层布单或者塑料编织布，以防止被杂质污染。布单或者塑料编织布没有毛边，防治其他纤维混入红花当中。晾晒厚度1cm-2cm，晾晒过程中翻动2-3次，使其均匀摊开达到迅速干燥的目的。 严禁在柏油马路上或者水泥地上晾晒，防止杂质进入红花当中。</w:t>
      </w:r>
    </w:p>
    <w:p>
      <w:pPr>
        <w:widowControl/>
        <w:snapToGrid w:val="0"/>
        <w:spacing w:line="360" w:lineRule="auto"/>
        <w:jc w:val="left"/>
        <w:rPr>
          <w:rFonts w:hint="eastAsia"/>
          <w:b/>
          <w:color w:val="000000"/>
          <w:kern w:val="0"/>
          <w:szCs w:val="21"/>
          <w:lang w:val="en-US" w:eastAsia="zh-CN"/>
        </w:rPr>
      </w:pPr>
      <w:r>
        <w:rPr>
          <w:rFonts w:hint="eastAsia"/>
          <w:b/>
          <w:color w:val="000000"/>
          <w:kern w:val="0"/>
          <w:szCs w:val="21"/>
          <w:lang w:val="en-US" w:eastAsia="zh-CN"/>
        </w:rPr>
        <w:t>6.2 烘干</w:t>
      </w:r>
    </w:p>
    <w:p>
      <w:pPr>
        <w:pStyle w:val="12"/>
        <w:ind w:left="0" w:leftChars="0" w:firstLine="420" w:firstLineChars="200"/>
        <w:rPr>
          <w:rFonts w:hint="eastAsia"/>
          <w:lang w:val="en-US" w:eastAsia="zh-CN"/>
        </w:rPr>
      </w:pPr>
      <w:r>
        <w:rPr>
          <w:rFonts w:hint="eastAsia"/>
          <w:lang w:val="en-US" w:eastAsia="zh-CN"/>
        </w:rPr>
        <w:t>当出现连续阴雨天气，不具备晾晒条件时，可以采取烘干的形式进行干燥。</w:t>
      </w:r>
    </w:p>
    <w:p>
      <w:pPr>
        <w:widowControl/>
        <w:snapToGrid w:val="0"/>
        <w:spacing w:line="360" w:lineRule="auto"/>
        <w:jc w:val="left"/>
        <w:rPr>
          <w:rFonts w:hint="eastAsia"/>
          <w:b/>
          <w:color w:val="000000"/>
          <w:kern w:val="0"/>
          <w:szCs w:val="21"/>
          <w:lang w:val="en-US" w:eastAsia="zh-CN"/>
        </w:rPr>
      </w:pPr>
      <w:r>
        <w:rPr>
          <w:rFonts w:hint="eastAsia"/>
          <w:b/>
          <w:color w:val="000000"/>
          <w:kern w:val="0"/>
          <w:szCs w:val="21"/>
          <w:lang w:val="en-US" w:eastAsia="zh-CN"/>
        </w:rPr>
        <w:t>6.2.1 烘干温度</w:t>
      </w:r>
    </w:p>
    <w:p>
      <w:pPr>
        <w:pStyle w:val="12"/>
        <w:ind w:left="0" w:leftChars="0" w:firstLine="420" w:firstLineChars="0"/>
        <w:rPr>
          <w:rFonts w:hint="eastAsia" w:ascii="宋体" w:hAnsi="宋体" w:eastAsia="宋体" w:cs="宋体"/>
          <w:lang w:val="en-US" w:eastAsia="zh-CN"/>
        </w:rPr>
      </w:pPr>
      <w:r>
        <w:rPr>
          <w:rFonts w:hint="eastAsia"/>
          <w:lang w:val="en-US" w:eastAsia="zh-CN"/>
        </w:rPr>
        <w:t>红花花丝烘干温度控制在80</w:t>
      </w:r>
      <w:r>
        <w:rPr>
          <w:rFonts w:hint="eastAsia" w:ascii="宋体" w:hAnsi="宋体" w:eastAsia="宋体" w:cs="宋体"/>
          <w:lang w:val="en-US" w:eastAsia="zh-CN"/>
        </w:rPr>
        <w:t>℃</w:t>
      </w:r>
      <w:r>
        <w:rPr>
          <w:rFonts w:hint="eastAsia" w:hAnsi="宋体" w:cs="宋体"/>
          <w:lang w:val="en-US" w:eastAsia="zh-CN"/>
        </w:rPr>
        <w:t>以下，一般在50-70</w:t>
      </w:r>
      <w:r>
        <w:rPr>
          <w:rFonts w:hint="eastAsia" w:ascii="宋体" w:hAnsi="宋体" w:eastAsia="宋体" w:cs="宋体"/>
          <w:lang w:val="en-US" w:eastAsia="zh-CN"/>
        </w:rPr>
        <w:t>℃进行。烘干设备具备抽风设备，及时进行换气排出湿气。</w:t>
      </w:r>
    </w:p>
    <w:p>
      <w:pPr>
        <w:widowControl/>
        <w:snapToGrid w:val="0"/>
        <w:spacing w:line="360" w:lineRule="auto"/>
        <w:jc w:val="left"/>
        <w:rPr>
          <w:rFonts w:hint="eastAsia"/>
          <w:b/>
          <w:color w:val="000000"/>
          <w:kern w:val="0"/>
          <w:szCs w:val="21"/>
          <w:lang w:val="en-US" w:eastAsia="zh-CN"/>
        </w:rPr>
      </w:pPr>
      <w:r>
        <w:rPr>
          <w:rFonts w:hint="eastAsia"/>
          <w:b/>
          <w:color w:val="000000"/>
          <w:kern w:val="0"/>
          <w:szCs w:val="21"/>
          <w:lang w:val="en-US" w:eastAsia="zh-CN"/>
        </w:rPr>
        <w:t>6.2.2 烘干时间</w:t>
      </w:r>
    </w:p>
    <w:p>
      <w:pPr>
        <w:pStyle w:val="12"/>
        <w:ind w:left="0" w:leftChars="0" w:firstLine="420" w:firstLineChars="0"/>
        <w:rPr>
          <w:rFonts w:hint="eastAsia" w:ascii="宋体" w:hAnsi="宋体" w:eastAsia="宋体" w:cs="宋体"/>
          <w:lang w:val="en-US" w:eastAsia="zh-CN"/>
        </w:rPr>
      </w:pPr>
      <w:r>
        <w:rPr>
          <w:rFonts w:hint="eastAsia" w:ascii="宋体" w:hAnsi="宋体" w:eastAsia="宋体" w:cs="宋体"/>
          <w:lang w:val="en-US" w:eastAsia="zh-CN"/>
        </w:rPr>
        <w:t>红花花丝烘干时均匀摊开，下面是不锈钢的细网丝托盘，托盘网孔不漏红花花丝为准，网孔2mm-2.5mm，烘干时间为8-10小时。烘干过程中经常检查察看是否均匀，达到标准水分时及时拿出。</w:t>
      </w:r>
    </w:p>
    <w:p>
      <w:pPr>
        <w:widowControl/>
        <w:snapToGrid w:val="0"/>
        <w:spacing w:line="360" w:lineRule="auto"/>
        <w:jc w:val="left"/>
        <w:rPr>
          <w:rFonts w:hint="eastAsia"/>
          <w:b/>
          <w:color w:val="000000"/>
          <w:kern w:val="0"/>
          <w:szCs w:val="21"/>
          <w:lang w:val="en-US" w:eastAsia="zh-CN"/>
        </w:rPr>
      </w:pPr>
      <w:r>
        <w:rPr>
          <w:rFonts w:hint="eastAsia"/>
          <w:b/>
          <w:color w:val="000000"/>
          <w:kern w:val="0"/>
          <w:szCs w:val="21"/>
          <w:lang w:val="en-US" w:eastAsia="zh-CN"/>
        </w:rPr>
        <w:t>6.2.3水分检测</w:t>
      </w:r>
    </w:p>
    <w:p>
      <w:pPr>
        <w:pStyle w:val="12"/>
        <w:ind w:left="0" w:leftChars="0" w:firstLine="0" w:firstLineChars="0"/>
        <w:rPr>
          <w:rFonts w:hint="default" w:ascii="宋体" w:hAnsi="宋体" w:eastAsia="宋体" w:cs="宋体"/>
          <w:lang w:val="en-US" w:eastAsia="zh-CN"/>
        </w:rPr>
      </w:pPr>
      <w:r>
        <w:rPr>
          <w:rFonts w:hint="eastAsia" w:ascii="宋体" w:hAnsi="宋体" w:eastAsia="宋体" w:cs="宋体"/>
          <w:lang w:val="en-US" w:eastAsia="zh-CN"/>
        </w:rPr>
        <w:t xml:space="preserve">   用显示水分测定仪进行快速测定出水分，取样2g磨碎，放入快速水分测定仪内加热15分钟即可测出水分含量。还可以用烘干法进行测定。取样15g-20g进行测定，把样品进行磨碎烘干，烘干温度为105℃4小时。烘干法测定水分公式：</w:t>
      </w:r>
    </w:p>
    <w:p>
      <w:pPr>
        <w:pStyle w:val="12"/>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水分%=（烘干前样品重量-烘干后样品重量）/烘干前样品重量</w:t>
      </w:r>
      <w:r>
        <w:rPr>
          <w:rFonts w:hint="default" w:ascii="Arial" w:hAnsi="Arial" w:eastAsia="宋体" w:cs="Arial"/>
          <w:lang w:val="en-US" w:eastAsia="zh-CN"/>
        </w:rPr>
        <w:t>×</w:t>
      </w:r>
      <w:r>
        <w:rPr>
          <w:rFonts w:hint="eastAsia" w:ascii="宋体" w:hAnsi="宋体" w:eastAsia="宋体" w:cs="宋体"/>
          <w:lang w:val="en-US" w:eastAsia="zh-CN"/>
        </w:rPr>
        <w:t>100%</w:t>
      </w:r>
    </w:p>
    <w:p>
      <w:pPr>
        <w:pStyle w:val="12"/>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水分测定具体设备及方法按照附录B执行。</w:t>
      </w:r>
    </w:p>
    <w:p>
      <w:pPr>
        <w:widowControl/>
        <w:snapToGrid w:val="0"/>
        <w:spacing w:line="360" w:lineRule="auto"/>
        <w:jc w:val="left"/>
        <w:rPr>
          <w:rFonts w:hint="eastAsia"/>
          <w:b/>
          <w:color w:val="000000"/>
          <w:kern w:val="0"/>
          <w:szCs w:val="21"/>
          <w:lang w:val="en-US" w:eastAsia="zh-CN"/>
        </w:rPr>
      </w:pPr>
      <w:r>
        <w:rPr>
          <w:rFonts w:hint="eastAsia"/>
          <w:b/>
          <w:color w:val="000000"/>
          <w:kern w:val="0"/>
          <w:szCs w:val="21"/>
          <w:lang w:val="en-US" w:eastAsia="zh-CN"/>
        </w:rPr>
        <w:t>7 红花分检</w:t>
      </w:r>
    </w:p>
    <w:p>
      <w:pPr>
        <w:widowControl/>
        <w:snapToGrid w:val="0"/>
        <w:spacing w:line="360" w:lineRule="auto"/>
        <w:jc w:val="left"/>
        <w:rPr>
          <w:rFonts w:hint="eastAsia"/>
          <w:b/>
          <w:color w:val="000000"/>
          <w:kern w:val="0"/>
          <w:szCs w:val="21"/>
          <w:lang w:val="en-US" w:eastAsia="zh-CN"/>
        </w:rPr>
      </w:pPr>
      <w:r>
        <w:rPr>
          <w:rFonts w:hint="eastAsia"/>
          <w:b/>
          <w:color w:val="000000"/>
          <w:kern w:val="0"/>
          <w:szCs w:val="21"/>
          <w:lang w:val="en-US" w:eastAsia="zh-CN"/>
        </w:rPr>
        <w:t>7.1 人工分检</w:t>
      </w:r>
    </w:p>
    <w:p>
      <w:pPr>
        <w:pStyle w:val="12"/>
        <w:ind w:left="0" w:leftChars="0" w:firstLine="0" w:firstLineChars="0"/>
        <w:rPr>
          <w:rFonts w:hint="default" w:ascii="宋体" w:hAnsi="宋体" w:eastAsia="宋体" w:cs="宋体"/>
          <w:lang w:val="en-US" w:eastAsia="zh-CN"/>
        </w:rPr>
      </w:pPr>
      <w:r>
        <w:rPr>
          <w:rFonts w:hint="eastAsia" w:ascii="宋体" w:hAnsi="宋体" w:eastAsia="宋体" w:cs="宋体"/>
          <w:lang w:val="en-US" w:eastAsia="zh-CN"/>
        </w:rPr>
        <w:t xml:space="preserve">  人工对茎叶，树叶等杂质机械分检，包装红花无杂质。</w:t>
      </w:r>
    </w:p>
    <w:p>
      <w:pPr>
        <w:widowControl/>
        <w:snapToGrid w:val="0"/>
        <w:spacing w:line="360" w:lineRule="auto"/>
        <w:jc w:val="left"/>
        <w:rPr>
          <w:rFonts w:hint="eastAsia"/>
          <w:b/>
          <w:color w:val="000000"/>
          <w:kern w:val="0"/>
          <w:szCs w:val="21"/>
          <w:lang w:val="en-US" w:eastAsia="zh-CN"/>
        </w:rPr>
      </w:pPr>
      <w:r>
        <w:rPr>
          <w:rFonts w:hint="eastAsia"/>
          <w:b/>
          <w:color w:val="000000"/>
          <w:kern w:val="0"/>
          <w:szCs w:val="21"/>
          <w:lang w:val="en-US" w:eastAsia="zh-CN"/>
        </w:rPr>
        <w:t>7.2 机械分检</w:t>
      </w:r>
    </w:p>
    <w:p>
      <w:pPr>
        <w:pStyle w:val="12"/>
        <w:ind w:left="0" w:leftChars="0" w:firstLine="420" w:firstLineChars="0"/>
        <w:rPr>
          <w:rFonts w:hint="eastAsia" w:ascii="宋体" w:hAnsi="宋体" w:eastAsia="宋体" w:cs="宋体"/>
          <w:lang w:val="en-US" w:eastAsia="zh-CN"/>
        </w:rPr>
      </w:pPr>
      <w:r>
        <w:rPr>
          <w:rFonts w:hint="eastAsia" w:ascii="宋体" w:hAnsi="宋体" w:eastAsia="宋体" w:cs="宋体"/>
          <w:lang w:val="en-US" w:eastAsia="zh-CN"/>
        </w:rPr>
        <w:t>采用不锈钢嗮网，机械嗮网过筛，筛除红花碎末。网孔大小控制在2mm。同时结合人工对于大的茎叶进行挑拣。</w:t>
      </w:r>
    </w:p>
    <w:p>
      <w:pPr>
        <w:widowControl/>
        <w:snapToGrid w:val="0"/>
        <w:spacing w:line="360" w:lineRule="auto"/>
        <w:jc w:val="left"/>
        <w:rPr>
          <w:rFonts w:hint="eastAsia"/>
          <w:b/>
          <w:color w:val="000000"/>
          <w:kern w:val="0"/>
          <w:szCs w:val="21"/>
          <w:lang w:val="en-US" w:eastAsia="zh-CN"/>
        </w:rPr>
      </w:pPr>
      <w:r>
        <w:rPr>
          <w:rFonts w:hint="eastAsia"/>
          <w:b/>
          <w:color w:val="000000"/>
          <w:kern w:val="0"/>
          <w:szCs w:val="21"/>
          <w:lang w:val="en-US" w:eastAsia="zh-CN"/>
        </w:rPr>
        <w:t>7.3 质量要求</w:t>
      </w:r>
    </w:p>
    <w:p>
      <w:pPr>
        <w:pStyle w:val="12"/>
        <w:ind w:left="0" w:leftChars="0" w:firstLine="0" w:firstLineChars="0"/>
        <w:rPr>
          <w:rFonts w:hint="default" w:ascii="宋体" w:hAnsi="宋体" w:eastAsia="宋体" w:cs="宋体"/>
          <w:lang w:val="en-US" w:eastAsia="zh-CN"/>
        </w:rPr>
      </w:pPr>
      <w:r>
        <w:rPr>
          <w:rFonts w:hint="eastAsia" w:ascii="宋体" w:hAnsi="宋体" w:eastAsia="宋体" w:cs="宋体"/>
          <w:lang w:val="en-US" w:eastAsia="zh-CN"/>
        </w:rPr>
        <w:t xml:space="preserve">   按照附录A执行。</w:t>
      </w:r>
    </w:p>
    <w:p>
      <w:pPr>
        <w:widowControl/>
        <w:snapToGrid w:val="0"/>
        <w:spacing w:line="360" w:lineRule="auto"/>
        <w:jc w:val="left"/>
        <w:rPr>
          <w:rFonts w:hint="eastAsia"/>
          <w:b/>
          <w:color w:val="000000"/>
          <w:kern w:val="0"/>
          <w:szCs w:val="21"/>
          <w:lang w:val="en-US" w:eastAsia="zh-CN"/>
        </w:rPr>
      </w:pPr>
      <w:r>
        <w:rPr>
          <w:rFonts w:hint="eastAsia"/>
          <w:b/>
          <w:color w:val="000000"/>
          <w:kern w:val="0"/>
          <w:szCs w:val="21"/>
          <w:lang w:val="en-US" w:eastAsia="zh-CN"/>
        </w:rPr>
        <w:t>8 包装</w:t>
      </w:r>
    </w:p>
    <w:p>
      <w:pPr>
        <w:widowControl/>
        <w:snapToGrid w:val="0"/>
        <w:spacing w:line="360" w:lineRule="auto"/>
        <w:jc w:val="left"/>
        <w:rPr>
          <w:rFonts w:hint="eastAsia"/>
          <w:b/>
          <w:color w:val="000000"/>
          <w:kern w:val="0"/>
          <w:szCs w:val="21"/>
          <w:lang w:val="en-US" w:eastAsia="zh-CN"/>
        </w:rPr>
      </w:pPr>
      <w:r>
        <w:rPr>
          <w:rFonts w:hint="eastAsia"/>
        </w:rPr>
        <w:t>销售的红花用塑料编织袋包装，塑料编织袋应符合GB/T8946的要求。</w:t>
      </w:r>
      <w:r>
        <w:rPr>
          <w:rFonts w:hint="eastAsia"/>
          <w:lang w:val="en-US" w:eastAsia="zh-CN"/>
        </w:rPr>
        <w:t>包装按照</w:t>
      </w:r>
      <w:r>
        <w:rPr>
          <w:rFonts w:hint="eastAsia"/>
          <w:b w:val="0"/>
          <w:bCs/>
          <w:color w:val="000000"/>
          <w:kern w:val="0"/>
          <w:szCs w:val="21"/>
          <w:lang w:val="en-US" w:eastAsia="zh-CN"/>
        </w:rPr>
        <w:t>NY/T658绿色食品  包装通用准则执行</w:t>
      </w:r>
      <w:r>
        <w:rPr>
          <w:rFonts w:hint="eastAsia"/>
          <w:b/>
          <w:color w:val="000000"/>
          <w:kern w:val="0"/>
          <w:szCs w:val="21"/>
          <w:lang w:val="en-US" w:eastAsia="zh-CN"/>
        </w:rPr>
        <w:t>。</w:t>
      </w:r>
    </w:p>
    <w:p>
      <w:pPr>
        <w:widowControl/>
        <w:snapToGrid w:val="0"/>
        <w:spacing w:line="360" w:lineRule="auto"/>
        <w:jc w:val="left"/>
        <w:rPr>
          <w:rFonts w:hint="eastAsia"/>
          <w:b/>
          <w:color w:val="000000"/>
          <w:kern w:val="0"/>
          <w:szCs w:val="21"/>
          <w:lang w:val="en-US" w:eastAsia="zh-CN"/>
        </w:rPr>
      </w:pPr>
      <w:r>
        <w:rPr>
          <w:rFonts w:hint="eastAsia"/>
          <w:b/>
          <w:color w:val="000000"/>
          <w:kern w:val="0"/>
          <w:szCs w:val="21"/>
          <w:lang w:val="en-US" w:eastAsia="zh-CN"/>
        </w:rPr>
        <w:t>9  贮藏运输</w:t>
      </w:r>
    </w:p>
    <w:p>
      <w:pPr>
        <w:pStyle w:val="12"/>
        <w:ind w:firstLine="420"/>
        <w:rPr>
          <w:rFonts w:hint="eastAsia"/>
          <w:b w:val="0"/>
          <w:bCs/>
          <w:color w:val="000000"/>
          <w:kern w:val="0"/>
          <w:szCs w:val="21"/>
          <w:lang w:val="en-US" w:eastAsia="zh-CN"/>
        </w:rPr>
      </w:pPr>
      <w:r>
        <w:rPr>
          <w:rFonts w:hint="eastAsia"/>
        </w:rPr>
        <w:t>禁止与有害、有毒或其他可造成污染的物品混贮、混运、严防潮湿。车辆运输时应有苫布盖严。红花贮存场所要具备防潮、防湿、防火、防鼠、通风等条件，仓库有附属晒场，禁止与易燃易爆品及化肥、农药等共同贮存。</w:t>
      </w:r>
      <w:r>
        <w:rPr>
          <w:rFonts w:hint="eastAsia"/>
          <w:lang w:val="en-US" w:eastAsia="zh-CN"/>
        </w:rPr>
        <w:t>按照</w:t>
      </w:r>
      <w:r>
        <w:rPr>
          <w:rFonts w:hint="eastAsia"/>
          <w:b w:val="0"/>
          <w:bCs/>
          <w:color w:val="000000"/>
          <w:kern w:val="0"/>
          <w:szCs w:val="21"/>
          <w:lang w:val="en-US" w:eastAsia="zh-CN"/>
        </w:rPr>
        <w:t>NY/T1056绿色食品  贮藏运输准则。</w:t>
      </w:r>
    </w:p>
    <w:p>
      <w:pPr>
        <w:pStyle w:val="12"/>
        <w:ind w:firstLine="420"/>
        <w:rPr>
          <w:rFonts w:hint="eastAsia"/>
        </w:rPr>
      </w:pPr>
    </w:p>
    <w:p>
      <w:pPr>
        <w:pStyle w:val="12"/>
        <w:ind w:left="0" w:leftChars="0" w:firstLine="0" w:firstLineChars="0"/>
        <w:rPr>
          <w:rFonts w:hint="default" w:ascii="宋体" w:hAnsi="宋体" w:eastAsia="宋体" w:cs="宋体"/>
          <w:lang w:val="en-US" w:eastAsia="zh-CN"/>
        </w:rPr>
      </w:pPr>
    </w:p>
    <w:p>
      <w:pPr>
        <w:pStyle w:val="12"/>
        <w:ind w:firstLine="420"/>
        <w:rPr>
          <w:rFonts w:hint="eastAsi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rFonts w:hint="eastAsia" w:ascii="Times New Roman" w:hAnsi="Arial" w:eastAsia="宋体" w:cs="Times New Roman"/>
          <w:b/>
          <w:bCs/>
          <w:kern w:val="0"/>
          <w:sz w:val="21"/>
          <w:szCs w:val="22"/>
          <w:lang w:val="en-US" w:eastAsia="zh-CN" w:bidi="ar-SA"/>
        </w:rPr>
      </w:pPr>
    </w:p>
    <w:p>
      <w:pPr>
        <w:pStyle w:val="10"/>
        <w:numPr>
          <w:ilvl w:val="0"/>
          <w:numId w:val="0"/>
        </w:numPr>
        <w:ind w:leftChars="0"/>
        <w:rPr>
          <w:b/>
          <w:bCs/>
          <w:sz w:val="44"/>
          <w:szCs w:val="44"/>
        </w:rPr>
      </w:pPr>
      <w:r>
        <w:rPr>
          <w:rFonts w:hint="eastAsia" w:ascii="Times New Roman" w:hAnsi="Arial" w:eastAsia="宋体" w:cs="Times New Roman"/>
          <w:b/>
          <w:bCs/>
          <w:kern w:val="0"/>
          <w:sz w:val="21"/>
          <w:szCs w:val="22"/>
          <w:lang w:val="en-US" w:eastAsia="zh-CN" w:bidi="ar-SA"/>
        </w:rPr>
        <w:t>附件A    红花质量要求</w:t>
      </w:r>
    </w:p>
    <w:p>
      <w:pPr>
        <w:pStyle w:val="10"/>
        <w:numPr>
          <w:ilvl w:val="0"/>
          <w:numId w:val="0"/>
        </w:numPr>
        <w:ind w:leftChars="0"/>
        <w:rPr>
          <w:rFonts w:hint="eastAsia" w:ascii="Times New Roman" w:hAnsi="Arial" w:eastAsia="宋体" w:cs="Times New Roman"/>
          <w:b/>
          <w:bCs/>
          <w:kern w:val="0"/>
          <w:sz w:val="21"/>
          <w:szCs w:val="22"/>
          <w:lang w:val="en-US" w:eastAsia="zh-CN" w:bidi="ar-SA"/>
        </w:rPr>
      </w:pPr>
      <w:r>
        <w:rPr>
          <w:rFonts w:hint="eastAsia" w:ascii="Times New Roman" w:hAnsi="Arial" w:eastAsia="宋体" w:cs="Times New Roman"/>
          <w:b/>
          <w:bCs/>
          <w:kern w:val="0"/>
          <w:sz w:val="21"/>
          <w:szCs w:val="22"/>
          <w:lang w:val="en-US" w:eastAsia="zh-CN" w:bidi="ar-SA"/>
        </w:rPr>
        <w:t>一、来源</w:t>
      </w:r>
    </w:p>
    <w:p>
      <w:pPr>
        <w:ind w:firstLine="420" w:firstLineChars="200"/>
        <w:rPr>
          <w:rFonts w:hint="eastAsia" w:ascii="Times New Roman" w:hAnsi="Arial" w:eastAsia="宋体" w:cs="Times New Roman"/>
          <w:kern w:val="0"/>
          <w:sz w:val="21"/>
          <w:szCs w:val="22"/>
          <w:lang w:val="en-US" w:eastAsia="zh-CN" w:bidi="ar-SA"/>
        </w:rPr>
      </w:pPr>
      <w:r>
        <w:rPr>
          <w:rFonts w:hint="eastAsia" w:ascii="Times New Roman" w:hAnsi="Arial" w:eastAsia="宋体" w:cs="Times New Roman"/>
          <w:kern w:val="0"/>
          <w:sz w:val="21"/>
          <w:szCs w:val="22"/>
          <w:lang w:val="en-US" w:eastAsia="zh-CN" w:bidi="ar-SA"/>
        </w:rPr>
        <w:t xml:space="preserve">本品为菊科植物红花 Carthamus tinctorius L.的干燥花。夏季花由黄变红时采摘，阴干或晒干。     </w:t>
      </w:r>
    </w:p>
    <w:p>
      <w:pPr>
        <w:pStyle w:val="10"/>
        <w:numPr>
          <w:ilvl w:val="0"/>
          <w:numId w:val="0"/>
        </w:numPr>
        <w:ind w:leftChars="0"/>
        <w:rPr>
          <w:rFonts w:hint="eastAsia" w:ascii="Times New Roman" w:hAnsi="Arial" w:eastAsia="宋体" w:cs="Times New Roman"/>
          <w:b/>
          <w:bCs/>
          <w:kern w:val="0"/>
          <w:sz w:val="21"/>
          <w:szCs w:val="22"/>
          <w:lang w:val="en-US" w:eastAsia="zh-CN" w:bidi="ar-SA"/>
        </w:rPr>
      </w:pPr>
      <w:r>
        <w:rPr>
          <w:rFonts w:hint="eastAsia" w:hAnsi="Arial" w:cs="Times New Roman"/>
          <w:b/>
          <w:bCs/>
          <w:kern w:val="0"/>
          <w:sz w:val="21"/>
          <w:szCs w:val="22"/>
          <w:lang w:val="en-US" w:eastAsia="zh-CN" w:bidi="ar-SA"/>
        </w:rPr>
        <w:t>二、</w:t>
      </w:r>
      <w:r>
        <w:rPr>
          <w:rFonts w:hint="eastAsia" w:ascii="Times New Roman" w:hAnsi="Arial" w:eastAsia="宋体" w:cs="Times New Roman"/>
          <w:b/>
          <w:bCs/>
          <w:kern w:val="0"/>
          <w:sz w:val="21"/>
          <w:szCs w:val="22"/>
          <w:lang w:val="en-US" w:eastAsia="zh-CN" w:bidi="ar-SA"/>
        </w:rPr>
        <w:t>来货质量要求</w:t>
      </w:r>
    </w:p>
    <w:p>
      <w:pPr>
        <w:pStyle w:val="10"/>
        <w:numPr>
          <w:ilvl w:val="0"/>
          <w:numId w:val="4"/>
        </w:numPr>
        <w:ind w:firstLineChars="0"/>
        <w:rPr>
          <w:rFonts w:hint="eastAsia" w:ascii="Times New Roman" w:hAnsi="Arial" w:eastAsia="宋体" w:cs="Times New Roman"/>
          <w:kern w:val="0"/>
          <w:sz w:val="21"/>
          <w:szCs w:val="22"/>
          <w:lang w:val="en-US" w:eastAsia="zh-CN" w:bidi="ar-SA"/>
        </w:rPr>
      </w:pPr>
      <w:r>
        <w:rPr>
          <w:rFonts w:hint="eastAsia" w:ascii="Times New Roman" w:hAnsi="Arial" w:eastAsia="宋体" w:cs="Times New Roman"/>
          <w:kern w:val="0"/>
          <w:sz w:val="21"/>
          <w:szCs w:val="22"/>
          <w:lang w:val="en-US" w:eastAsia="zh-CN" w:bidi="ar-SA"/>
        </w:rPr>
        <w:t>药典性状描述：【性状】 本品为不带子房的管状花，长1～2cm。表面红黄色或红色。花冠筒细长，先端5裂，裂片呈狭条形，长5～8mm；雄蕊5，花药聚合成筒状，黄白色；柱头长圆柱形，顶端微分叉。质柔软。气微香，味微苦。</w:t>
      </w:r>
    </w:p>
    <w:p>
      <w:pPr>
        <w:pStyle w:val="10"/>
        <w:numPr>
          <w:ilvl w:val="0"/>
          <w:numId w:val="4"/>
        </w:numPr>
        <w:ind w:firstLineChars="0"/>
        <w:rPr>
          <w:rFonts w:hint="eastAsia" w:ascii="Times New Roman" w:hAnsi="Arial" w:eastAsia="宋体" w:cs="Times New Roman"/>
          <w:kern w:val="0"/>
          <w:sz w:val="21"/>
          <w:szCs w:val="22"/>
          <w:lang w:val="en-US" w:eastAsia="zh-CN" w:bidi="ar-SA"/>
        </w:rPr>
      </w:pPr>
      <w:r>
        <w:rPr>
          <w:rFonts w:hint="eastAsia" w:ascii="Times New Roman" w:hAnsi="Arial" w:eastAsia="宋体" w:cs="Times New Roman"/>
          <w:kern w:val="0"/>
          <w:sz w:val="21"/>
          <w:szCs w:val="22"/>
          <w:lang w:val="en-US" w:eastAsia="zh-CN" w:bidi="ar-SA"/>
        </w:rPr>
        <w:t>来货质量要求：选 无叶无花梗花托 无沙无染色。</w:t>
      </w:r>
    </w:p>
    <w:p>
      <w:pPr>
        <w:pStyle w:val="10"/>
        <w:numPr>
          <w:ilvl w:val="0"/>
          <w:numId w:val="0"/>
        </w:numPr>
        <w:ind w:leftChars="0"/>
        <w:rPr>
          <w:rFonts w:hint="eastAsia" w:hAnsi="Arial" w:cs="Times New Roman"/>
          <w:b/>
          <w:bCs/>
          <w:kern w:val="0"/>
          <w:sz w:val="21"/>
          <w:szCs w:val="22"/>
          <w:lang w:val="en-US" w:eastAsia="zh-CN" w:bidi="ar-SA"/>
        </w:rPr>
      </w:pPr>
      <w:r>
        <w:rPr>
          <w:rFonts w:hint="eastAsia" w:hAnsi="Arial" w:cs="Times New Roman"/>
          <w:b/>
          <w:bCs/>
          <w:kern w:val="0"/>
          <w:sz w:val="21"/>
          <w:szCs w:val="22"/>
          <w:lang w:val="en-US" w:eastAsia="zh-CN" w:bidi="ar-SA"/>
        </w:rPr>
        <w:t>三、理化指标</w:t>
      </w:r>
    </w:p>
    <w:p>
      <w:pPr>
        <w:spacing w:line="276" w:lineRule="auto"/>
        <w:rPr>
          <w:rFonts w:hint="eastAsia" w:ascii="Times New Roman" w:hAnsi="Arial" w:eastAsia="宋体" w:cs="Times New Roman"/>
          <w:kern w:val="0"/>
          <w:sz w:val="21"/>
          <w:szCs w:val="22"/>
          <w:lang w:val="en-US" w:eastAsia="zh-CN" w:bidi="ar-SA"/>
        </w:rPr>
      </w:pPr>
      <w:r>
        <w:rPr>
          <w:rFonts w:hint="eastAsia" w:ascii="Times New Roman" w:hAnsi="Arial" w:eastAsia="宋体" w:cs="Times New Roman"/>
          <w:kern w:val="0"/>
          <w:sz w:val="21"/>
          <w:szCs w:val="22"/>
          <w:lang w:val="en-US" w:eastAsia="zh-CN" w:bidi="ar-SA"/>
        </w:rPr>
        <w:t>1.鉴别：按《中国药典》2015版一部规定[鉴别]项下操作，应符合规定。</w:t>
      </w:r>
    </w:p>
    <w:p>
      <w:pPr>
        <w:rPr>
          <w:rFonts w:hint="eastAsia" w:ascii="Times New Roman" w:hAnsi="Arial" w:eastAsia="宋体" w:cs="Times New Roman"/>
          <w:kern w:val="0"/>
          <w:sz w:val="21"/>
          <w:szCs w:val="22"/>
          <w:lang w:val="en-US" w:eastAsia="zh-CN" w:bidi="ar-SA"/>
        </w:rPr>
      </w:pPr>
      <w:r>
        <w:rPr>
          <w:rFonts w:hint="eastAsia" w:ascii="Times New Roman" w:hAnsi="Arial" w:eastAsia="宋体" w:cs="Times New Roman"/>
          <w:kern w:val="0"/>
          <w:sz w:val="21"/>
          <w:szCs w:val="22"/>
          <w:lang w:val="en-US" w:eastAsia="zh-CN" w:bidi="ar-SA"/>
        </w:rPr>
        <w:t>2.检查：杂质　不得过2%（通则2301）。</w:t>
      </w:r>
    </w:p>
    <w:p>
      <w:pPr>
        <w:rPr>
          <w:rFonts w:hint="eastAsia" w:ascii="Times New Roman" w:hAnsi="Arial" w:eastAsia="宋体" w:cs="Times New Roman"/>
          <w:kern w:val="0"/>
          <w:sz w:val="21"/>
          <w:szCs w:val="22"/>
          <w:lang w:val="en-US" w:eastAsia="zh-CN" w:bidi="ar-SA"/>
        </w:rPr>
      </w:pPr>
      <w:r>
        <w:rPr>
          <w:rFonts w:hint="eastAsia" w:ascii="Times New Roman" w:hAnsi="Arial" w:eastAsia="宋体" w:cs="Times New Roman"/>
          <w:kern w:val="0"/>
          <w:sz w:val="21"/>
          <w:szCs w:val="22"/>
          <w:lang w:val="en-US" w:eastAsia="zh-CN" w:bidi="ar-SA"/>
        </w:rPr>
        <w:t xml:space="preserve">    水分　不得过13.0%（通则0832第二法）。</w:t>
      </w:r>
    </w:p>
    <w:p>
      <w:pPr>
        <w:rPr>
          <w:rFonts w:hint="eastAsia" w:ascii="Times New Roman" w:hAnsi="Arial" w:eastAsia="宋体" w:cs="Times New Roman"/>
          <w:kern w:val="0"/>
          <w:sz w:val="21"/>
          <w:szCs w:val="22"/>
          <w:lang w:val="en-US" w:eastAsia="zh-CN" w:bidi="ar-SA"/>
        </w:rPr>
      </w:pPr>
      <w:r>
        <w:rPr>
          <w:rFonts w:hint="eastAsia" w:ascii="Times New Roman" w:hAnsi="Arial" w:eastAsia="宋体" w:cs="Times New Roman"/>
          <w:kern w:val="0"/>
          <w:sz w:val="21"/>
          <w:szCs w:val="22"/>
          <w:lang w:val="en-US" w:eastAsia="zh-CN" w:bidi="ar-SA"/>
        </w:rPr>
        <w:t xml:space="preserve">    总灰分　不得过15.0%（通则2302）。</w:t>
      </w:r>
    </w:p>
    <w:p>
      <w:pPr>
        <w:ind w:firstLine="480"/>
        <w:rPr>
          <w:rFonts w:hint="eastAsia" w:ascii="Times New Roman" w:hAnsi="Arial" w:eastAsia="宋体" w:cs="Times New Roman"/>
          <w:kern w:val="0"/>
          <w:sz w:val="21"/>
          <w:szCs w:val="22"/>
          <w:lang w:val="en-US" w:eastAsia="zh-CN" w:bidi="ar-SA"/>
        </w:rPr>
      </w:pPr>
      <w:r>
        <w:rPr>
          <w:rFonts w:hint="eastAsia" w:ascii="Times New Roman" w:hAnsi="Arial" w:eastAsia="宋体" w:cs="Times New Roman"/>
          <w:kern w:val="0"/>
          <w:sz w:val="21"/>
          <w:szCs w:val="22"/>
          <w:lang w:val="en-US" w:eastAsia="zh-CN" w:bidi="ar-SA"/>
        </w:rPr>
        <w:t>酸不溶性灰分　不得过5.0%（通则2302）。</w:t>
      </w:r>
    </w:p>
    <w:p>
      <w:pPr>
        <w:ind w:firstLine="210" w:firstLineChars="100"/>
        <w:rPr>
          <w:rFonts w:hint="eastAsia" w:ascii="Times New Roman" w:hAnsi="Arial" w:eastAsia="宋体" w:cs="Times New Roman"/>
          <w:kern w:val="0"/>
          <w:sz w:val="21"/>
          <w:szCs w:val="22"/>
          <w:lang w:val="en-US" w:eastAsia="zh-CN" w:bidi="ar-SA"/>
        </w:rPr>
      </w:pPr>
      <w:r>
        <w:rPr>
          <w:rFonts w:hint="eastAsia" w:ascii="Times New Roman" w:hAnsi="Arial" w:eastAsia="宋体" w:cs="Times New Roman"/>
          <w:kern w:val="0"/>
          <w:sz w:val="21"/>
          <w:szCs w:val="22"/>
          <w:lang w:val="en-US" w:eastAsia="zh-CN" w:bidi="ar-SA"/>
        </w:rPr>
        <w:t xml:space="preserve">  所有原料，不得含有二氧化硫残留。</w:t>
      </w:r>
    </w:p>
    <w:p>
      <w:pPr>
        <w:rPr>
          <w:rFonts w:hint="eastAsia" w:ascii="Times New Roman" w:hAnsi="Arial" w:eastAsia="宋体" w:cs="Times New Roman"/>
          <w:kern w:val="0"/>
          <w:sz w:val="21"/>
          <w:szCs w:val="22"/>
          <w:lang w:val="en-US" w:eastAsia="zh-CN" w:bidi="ar-SA"/>
        </w:rPr>
      </w:pPr>
      <w:r>
        <w:rPr>
          <w:rFonts w:hint="eastAsia" w:ascii="Times New Roman" w:hAnsi="Arial" w:eastAsia="宋体" w:cs="Times New Roman"/>
          <w:kern w:val="0"/>
          <w:sz w:val="21"/>
          <w:szCs w:val="22"/>
          <w:lang w:val="en-US" w:eastAsia="zh-CN" w:bidi="ar-SA"/>
        </w:rPr>
        <w:t>3.浸出物：【浸出物】 照水溶性浸出物测定法（通则2201）项下的冷浸法测定，不得少于30.0%。</w:t>
      </w:r>
    </w:p>
    <w:p>
      <w:pPr>
        <w:rPr>
          <w:rFonts w:hint="eastAsia" w:ascii="Times New Roman" w:hAnsi="Arial" w:eastAsia="宋体" w:cs="Times New Roman"/>
          <w:kern w:val="0"/>
          <w:sz w:val="21"/>
          <w:szCs w:val="22"/>
          <w:lang w:val="en-US" w:eastAsia="zh-CN" w:bidi="ar-SA"/>
        </w:rPr>
      </w:pPr>
      <w:r>
        <w:rPr>
          <w:rFonts w:hint="eastAsia" w:ascii="Times New Roman" w:hAnsi="Arial" w:eastAsia="宋体" w:cs="Times New Roman"/>
          <w:kern w:val="0"/>
          <w:sz w:val="21"/>
          <w:szCs w:val="22"/>
          <w:lang w:val="en-US" w:eastAsia="zh-CN" w:bidi="ar-SA"/>
        </w:rPr>
        <w:t>4.含量测定：本品按干燥品计算，含山柰素（C15H10O6）不得少于0.050%。</w:t>
      </w: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p>
    <w:p>
      <w:pPr>
        <w:rPr>
          <w:rFonts w:hint="eastAsia" w:ascii="Times New Roman" w:hAnsi="Arial" w:eastAsia="宋体" w:cs="Times New Roman"/>
          <w:kern w:val="0"/>
          <w:sz w:val="21"/>
          <w:szCs w:val="22"/>
          <w:lang w:val="en-US" w:eastAsia="zh-CN" w:bidi="ar-SA"/>
        </w:rPr>
      </w:pPr>
      <w:r>
        <w:rPr>
          <w:rFonts w:hint="eastAsia" w:ascii="Times New Roman" w:hAnsi="Arial" w:eastAsia="宋体" w:cs="Times New Roman"/>
          <w:kern w:val="0"/>
          <w:sz w:val="21"/>
          <w:szCs w:val="22"/>
          <w:lang w:val="en-US" w:eastAsia="zh-CN" w:bidi="ar-SA"/>
        </w:rPr>
        <w:t>5.农残：以下农残不得检出</w:t>
      </w:r>
    </w:p>
    <w:tbl>
      <w:tblPr>
        <w:tblStyle w:val="6"/>
        <w:tblW w:w="9260" w:type="dxa"/>
        <w:tblInd w:w="93" w:type="dxa"/>
        <w:tblLayout w:type="autofit"/>
        <w:tblCellMar>
          <w:top w:w="0" w:type="dxa"/>
          <w:left w:w="108" w:type="dxa"/>
          <w:bottom w:w="0" w:type="dxa"/>
          <w:right w:w="108" w:type="dxa"/>
        </w:tblCellMar>
      </w:tblPr>
      <w:tblGrid>
        <w:gridCol w:w="700"/>
        <w:gridCol w:w="1760"/>
        <w:gridCol w:w="640"/>
        <w:gridCol w:w="1820"/>
        <w:gridCol w:w="740"/>
        <w:gridCol w:w="1540"/>
        <w:gridCol w:w="820"/>
        <w:gridCol w:w="1240"/>
      </w:tblGrid>
      <w:tr>
        <w:tblPrEx>
          <w:tblCellMar>
            <w:top w:w="0" w:type="dxa"/>
            <w:left w:w="108" w:type="dxa"/>
            <w:bottom w:w="0" w:type="dxa"/>
            <w:right w:w="108" w:type="dxa"/>
          </w:tblCellMar>
        </w:tblPrEx>
        <w:trPr>
          <w:trHeight w:val="450" w:hRule="atLeast"/>
        </w:trPr>
        <w:tc>
          <w:tcPr>
            <w:tcW w:w="7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176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测试项目</w:t>
            </w:r>
          </w:p>
        </w:tc>
        <w:tc>
          <w:tcPr>
            <w:tcW w:w="64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182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测试项目</w:t>
            </w:r>
          </w:p>
        </w:tc>
        <w:tc>
          <w:tcPr>
            <w:tcW w:w="74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154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测试项目</w:t>
            </w:r>
          </w:p>
        </w:tc>
        <w:tc>
          <w:tcPr>
            <w:tcW w:w="82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124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测试项目</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α-六六六</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55</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联苯菊酯</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109</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残杀威</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163</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杀螨酯</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β-六六六</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56</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高效氯氟氰菊酯</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110</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抗蚜威</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164</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三硫磷</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γ-六六六</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57</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氯菊酯</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111</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克百威</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165</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腐霉利</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δ-六六六</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58</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溴氰菊酯</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112</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异丙威</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166</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莠灭净</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2，4’-滴滴涕</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59</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氯氰菊酯</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113</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仲丁威</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167</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特丁硫磷砜</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4，4’-滴滴涕</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60</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氰戊菊酯</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114</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苯硫威</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168</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西玛津</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2，4’-滴滴伊</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61</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苯噻酰草胺</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115</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毒死蜱</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169</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特丁津</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4，4’-滴滴伊</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62</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丙草胺</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116</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甲基毒死蜱</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170</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咯菌腈</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4,4’-滴滴滴</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63</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啶酰菌胺</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117</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乙烯菌核利</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171</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阿特拉通</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吡菌磷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64</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丁草胺</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118</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噻唑膦</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172</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除草定</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丙溴磷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65</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氟酰胺</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119</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虫螨畏</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173</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野麦畏</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地虫硫磷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66</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甲草胺</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120</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毒虫畏</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174</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莠去津</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对硫磷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67</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磷胺</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121</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氟虫腈</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175</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除线磷</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二嗪磷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68</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嘧菌环胺</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122</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杀虫畏</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176</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乙基溴硫磷</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15</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伏杀硫磷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69</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嘧霉胺</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123</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氧乐果</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177</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咪唑菌酮</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16</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甲胺磷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70</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异丙甲草胺</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124</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乐果</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178</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环草敌</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17</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甲拌磷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71</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乙草胺</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125</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三氯杀螨醇</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179</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皮蝇磷</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18</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甲拌磷砜</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72</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乙氧呋草黄</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126</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三氯杀螨砜</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180</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丙硫磷</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19</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甲拌磷亚砜</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73</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吡螨胺</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127</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四氯硝基苯</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181</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氯苯甲醚</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甲基对硫磷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74</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敌草胺</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128</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五氯硝基苯</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182</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敌噁磷</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21</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甲基立枯磷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75</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乙嘧酚磺酸酯</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129</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五氯苯胺</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183</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环嗪酮</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22</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甲基嘧啶磷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76</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环氟菌胺</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130</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六氯苯</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184</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脱叶磷</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23</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甲基异柳磷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77</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丰索磷</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131</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α-硫丹</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185</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丁基嘧啶磷</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24</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久效磷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78</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哒嗪硫磷</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132</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β-硫丹</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186</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炔苯酰草胺</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25</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喹硫磷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79</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二苯胺</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133</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氯丹-反式</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187</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烯丙菊酯</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26</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硫环磷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80</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胺丙畏</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134</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禾草丹</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188</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嘧菌胺</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27</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氯唑磷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81</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苯霜灵</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135</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倍硫磷砜</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189</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哌草磷</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28</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马拉硫磷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82</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哒螨灵</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136</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倍硫磷亚砜</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190</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苯草醚</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29</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嘧啶磷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83</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噁霜灵</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137</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绿谷隆</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191</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百治磷</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30</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灭线磷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84</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扑灭津</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138</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稻瘟灵</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192</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溴苯烯磷</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31</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三唑磷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85</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特丁净</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139</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异稻瘟净</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193</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虫螨磷</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32</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杀螟硫磷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86</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甲霜灵</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140</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艾氏剂</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194</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灭菌磷</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33</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杀扑磷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87</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二甲戊灵</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141</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狄氏剂</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195</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安硫磷</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34</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莎稗磷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88</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禾草灵</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142</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异狄氏剂</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196</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地胺磷</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35</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水胺硫磷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89</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氯苯胺灵</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143</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除草醚</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197</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对氧磷</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36</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速灭磷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90</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土菌灵</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144</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甲羧除草醚</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198</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甲基对氧磷</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37</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特丁硫磷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91</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吡氟禾草灵</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145</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增效醚</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199</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环丙氟灵</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38</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溴硫磷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92</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乙酯杀螨醇</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146</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乙氧氟草醚</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200</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喹氧灵</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39</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亚胺硫磷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93</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异菌脲</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147</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氯硝胺</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201</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氟丁酰草胺</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40</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乙硫磷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94</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苯醚甲环唑</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148</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吡丙醚</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202</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联苯</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41</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乙酰甲胺磷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95</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丙环唑</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149</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噁草酮</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203</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硫草敌</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42</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异柳磷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96</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多效唑</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150</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异噁草酮</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204</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异丙净</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43</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蝇毒磷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97</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腈苯唑</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151</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嗪草酮</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205</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三氟硝草醚</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44</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治螟磷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98</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腈菌唑</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152</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三唑酮</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206</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氟喹唑</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45</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抑草磷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99</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四氟醚唑</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153</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三唑醇</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207</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氧异柳磷</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46</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乙嘧硫磷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100</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戊菌唑</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154</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烯唑醇</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208</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溴苯膦</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47</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敌瘟磷</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101</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乙螨唑</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155</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戊唑醇</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209</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马拉氧磷</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48</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胺菊酯</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102</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抑霉唑</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156</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己唑醇</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210</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烯虫酯</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49</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氟胺氰菊脂</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103</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氟环唑</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157</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环丙唑醇</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211</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虫线磷</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50</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氟丙菊酯</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104</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敌稗</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158</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溴螨酯</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212</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毒壤膦</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51</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乙丁氟灵</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105</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敌草腈</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159</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氯苯嘧啶醇</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213</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脱乙基莠去津</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52</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氟氯氰菊酯</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106</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敌草净</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160</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益棉磷</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214</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乙丁烯氟灵</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53</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氟氰戊菊酯</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107</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敌敌畏</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161</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醚菌酯</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215</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噁唑啉</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54</w:t>
            </w:r>
          </w:p>
        </w:tc>
        <w:tc>
          <w:tcPr>
            <w:tcW w:w="176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甲氰菊酯</w:t>
            </w:r>
          </w:p>
        </w:tc>
        <w:tc>
          <w:tcPr>
            <w:tcW w:w="6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108</w:t>
            </w:r>
          </w:p>
        </w:tc>
        <w:tc>
          <w:tcPr>
            <w:tcW w:w="1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禾草敌</w:t>
            </w:r>
          </w:p>
        </w:tc>
        <w:tc>
          <w:tcPr>
            <w:tcW w:w="7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162</w:t>
            </w:r>
          </w:p>
        </w:tc>
        <w:tc>
          <w:tcPr>
            <w:tcW w:w="15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肟菌酯</w:t>
            </w:r>
          </w:p>
        </w:tc>
        <w:tc>
          <w:tcPr>
            <w:tcW w:w="82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216</w:t>
            </w:r>
          </w:p>
        </w:tc>
        <w:tc>
          <w:tcPr>
            <w:tcW w:w="124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伐灭磷</w:t>
            </w:r>
          </w:p>
        </w:tc>
      </w:tr>
    </w:tbl>
    <w:p>
      <w:pPr>
        <w:rPr>
          <w:rFonts w:asciiTheme="minorEastAsia" w:hAnsiTheme="minorEastAsia"/>
          <w:b/>
          <w:bCs/>
          <w:sz w:val="24"/>
          <w:szCs w:val="24"/>
        </w:rPr>
      </w:pPr>
    </w:p>
    <w:p>
      <w:pPr>
        <w:pStyle w:val="12"/>
        <w:ind w:left="0" w:leftChars="0" w:firstLine="0" w:firstLineChars="0"/>
        <w:rPr>
          <w:rFonts w:hint="default"/>
          <w:b w:val="0"/>
          <w:bCs w:val="0"/>
          <w:sz w:val="24"/>
          <w:szCs w:val="24"/>
          <w:lang w:val="en-US" w:eastAsia="zh-CN"/>
        </w:rPr>
      </w:pPr>
    </w:p>
    <w:p>
      <w:pPr>
        <w:pStyle w:val="12"/>
        <w:ind w:left="0" w:leftChars="0" w:firstLine="0" w:firstLineChars="0"/>
        <w:rPr>
          <w:rFonts w:hint="default"/>
          <w:b/>
          <w:bCs/>
          <w:sz w:val="21"/>
          <w:szCs w:val="21"/>
          <w:lang w:val="en-US" w:eastAsia="zh-CN"/>
        </w:rPr>
      </w:pPr>
    </w:p>
    <w:p>
      <w:pPr>
        <w:pStyle w:val="12"/>
        <w:ind w:left="0" w:leftChars="0" w:firstLine="0" w:firstLineChars="0"/>
        <w:rPr>
          <w:rFonts w:hint="default"/>
          <w:b/>
          <w:bCs/>
          <w:sz w:val="21"/>
          <w:szCs w:val="21"/>
          <w:lang w:val="en-US" w:eastAsia="zh-CN"/>
        </w:rPr>
      </w:pPr>
    </w:p>
    <w:p>
      <w:pPr>
        <w:pStyle w:val="12"/>
        <w:ind w:left="0" w:leftChars="0" w:firstLine="0" w:firstLineChars="0"/>
        <w:rPr>
          <w:rFonts w:hint="default"/>
          <w:b/>
          <w:bCs/>
          <w:sz w:val="21"/>
          <w:szCs w:val="21"/>
          <w:lang w:val="en-US" w:eastAsia="zh-CN"/>
        </w:rPr>
      </w:pPr>
    </w:p>
    <w:p>
      <w:pPr>
        <w:pStyle w:val="12"/>
        <w:ind w:left="0" w:leftChars="0" w:firstLine="0" w:firstLineChars="0"/>
        <w:rPr>
          <w:rFonts w:hint="default"/>
          <w:b/>
          <w:bCs/>
          <w:sz w:val="21"/>
          <w:szCs w:val="21"/>
          <w:lang w:val="en-US" w:eastAsia="zh-CN"/>
        </w:rPr>
      </w:pPr>
    </w:p>
    <w:p>
      <w:pPr>
        <w:pStyle w:val="12"/>
        <w:ind w:left="0" w:leftChars="0" w:firstLine="0" w:firstLineChars="0"/>
        <w:rPr>
          <w:rFonts w:hint="default"/>
          <w:b/>
          <w:bCs/>
          <w:sz w:val="21"/>
          <w:szCs w:val="21"/>
          <w:lang w:val="en-US" w:eastAsia="zh-CN"/>
        </w:rPr>
      </w:pPr>
    </w:p>
    <w:p>
      <w:pPr>
        <w:pStyle w:val="12"/>
        <w:ind w:left="0" w:leftChars="0" w:firstLine="0" w:firstLineChars="0"/>
        <w:rPr>
          <w:rFonts w:hint="default"/>
          <w:b/>
          <w:bCs/>
          <w:sz w:val="21"/>
          <w:szCs w:val="21"/>
          <w:lang w:val="en-US" w:eastAsia="zh-CN"/>
        </w:rPr>
      </w:pPr>
    </w:p>
    <w:p>
      <w:pPr>
        <w:pStyle w:val="12"/>
        <w:ind w:left="0" w:leftChars="0" w:firstLine="0" w:firstLineChars="0"/>
        <w:rPr>
          <w:rFonts w:hint="default"/>
          <w:b/>
          <w:bCs/>
          <w:sz w:val="21"/>
          <w:szCs w:val="21"/>
          <w:lang w:val="en-US" w:eastAsia="zh-CN"/>
        </w:rPr>
      </w:pPr>
    </w:p>
    <w:p>
      <w:pPr>
        <w:pStyle w:val="12"/>
        <w:ind w:left="0" w:leftChars="0" w:firstLine="0" w:firstLineChars="0"/>
        <w:rPr>
          <w:rFonts w:hint="default"/>
          <w:b/>
          <w:bCs/>
          <w:sz w:val="21"/>
          <w:szCs w:val="21"/>
          <w:lang w:val="en-US" w:eastAsia="zh-CN"/>
        </w:rPr>
      </w:pPr>
    </w:p>
    <w:p>
      <w:pPr>
        <w:pStyle w:val="12"/>
        <w:ind w:left="0" w:leftChars="0" w:firstLine="0" w:firstLineChars="0"/>
        <w:rPr>
          <w:rFonts w:hint="default"/>
          <w:b/>
          <w:bCs/>
          <w:sz w:val="21"/>
          <w:szCs w:val="21"/>
          <w:lang w:val="en-US" w:eastAsia="zh-CN"/>
        </w:rPr>
      </w:pPr>
    </w:p>
    <w:p>
      <w:pPr>
        <w:pStyle w:val="12"/>
        <w:ind w:left="0" w:leftChars="0" w:firstLine="0" w:firstLineChars="0"/>
        <w:rPr>
          <w:rFonts w:hint="default"/>
          <w:b/>
          <w:bCs/>
          <w:sz w:val="21"/>
          <w:szCs w:val="21"/>
          <w:lang w:val="en-US" w:eastAsia="zh-CN"/>
        </w:rPr>
      </w:pPr>
    </w:p>
    <w:p>
      <w:pPr>
        <w:pStyle w:val="12"/>
        <w:ind w:left="0" w:leftChars="0" w:firstLine="0" w:firstLineChars="0"/>
        <w:rPr>
          <w:rFonts w:hint="default"/>
          <w:b/>
          <w:bCs/>
          <w:sz w:val="21"/>
          <w:szCs w:val="21"/>
          <w:lang w:val="en-US" w:eastAsia="zh-CN"/>
        </w:rPr>
      </w:pPr>
    </w:p>
    <w:p>
      <w:pPr>
        <w:pStyle w:val="12"/>
        <w:ind w:left="0" w:leftChars="0" w:firstLine="0" w:firstLineChars="0"/>
        <w:rPr>
          <w:rFonts w:hint="default"/>
          <w:b/>
          <w:bCs/>
          <w:sz w:val="21"/>
          <w:szCs w:val="21"/>
          <w:lang w:val="en-US" w:eastAsia="zh-CN"/>
        </w:rPr>
      </w:pPr>
    </w:p>
    <w:p>
      <w:pPr>
        <w:pStyle w:val="12"/>
        <w:ind w:left="0" w:leftChars="0" w:firstLine="0" w:firstLineChars="0"/>
        <w:rPr>
          <w:rFonts w:hint="default"/>
          <w:b/>
          <w:bCs/>
          <w:sz w:val="21"/>
          <w:szCs w:val="21"/>
          <w:lang w:val="en-US" w:eastAsia="zh-CN"/>
        </w:rPr>
      </w:pPr>
    </w:p>
    <w:p>
      <w:pPr>
        <w:pStyle w:val="12"/>
        <w:ind w:left="0" w:leftChars="0" w:firstLine="0" w:firstLineChars="0"/>
        <w:rPr>
          <w:rFonts w:hint="default"/>
          <w:b/>
          <w:bCs/>
          <w:sz w:val="21"/>
          <w:szCs w:val="21"/>
          <w:lang w:val="en-US" w:eastAsia="zh-CN"/>
        </w:rPr>
      </w:pPr>
    </w:p>
    <w:p>
      <w:pPr>
        <w:pStyle w:val="12"/>
        <w:ind w:left="0" w:leftChars="0" w:firstLine="0" w:firstLineChars="0"/>
        <w:rPr>
          <w:rFonts w:hint="default"/>
          <w:b/>
          <w:bCs/>
          <w:sz w:val="21"/>
          <w:szCs w:val="21"/>
          <w:lang w:val="en-US" w:eastAsia="zh-CN"/>
        </w:rPr>
      </w:pPr>
    </w:p>
    <w:p>
      <w:pPr>
        <w:pStyle w:val="12"/>
        <w:ind w:left="0" w:leftChars="0" w:firstLine="0" w:firstLineChars="0"/>
        <w:rPr>
          <w:rFonts w:hint="default"/>
          <w:b/>
          <w:bCs/>
          <w:sz w:val="21"/>
          <w:szCs w:val="21"/>
          <w:lang w:val="en-US" w:eastAsia="zh-CN"/>
        </w:rPr>
      </w:pPr>
    </w:p>
    <w:p>
      <w:pPr>
        <w:pStyle w:val="12"/>
        <w:ind w:left="0" w:leftChars="0" w:firstLine="0" w:firstLineChars="0"/>
        <w:rPr>
          <w:rFonts w:hint="default"/>
          <w:b/>
          <w:bCs/>
          <w:sz w:val="21"/>
          <w:szCs w:val="21"/>
          <w:lang w:val="en-US" w:eastAsia="zh-CN"/>
        </w:rPr>
      </w:pPr>
    </w:p>
    <w:p>
      <w:pPr>
        <w:pStyle w:val="12"/>
        <w:ind w:left="0" w:leftChars="0" w:firstLine="0" w:firstLineChars="0"/>
        <w:rPr>
          <w:rFonts w:hint="default"/>
          <w:b/>
          <w:bCs/>
          <w:sz w:val="21"/>
          <w:szCs w:val="21"/>
          <w:lang w:val="en-US" w:eastAsia="zh-CN"/>
        </w:rPr>
      </w:pPr>
    </w:p>
    <w:p>
      <w:pPr>
        <w:pStyle w:val="12"/>
        <w:ind w:left="0" w:leftChars="0" w:firstLine="0" w:firstLineChars="0"/>
        <w:rPr>
          <w:rFonts w:hint="default"/>
          <w:b/>
          <w:bCs/>
          <w:sz w:val="21"/>
          <w:szCs w:val="21"/>
          <w:lang w:val="en-US" w:eastAsia="zh-CN"/>
        </w:rPr>
      </w:pPr>
    </w:p>
    <w:p>
      <w:pPr>
        <w:pStyle w:val="12"/>
        <w:ind w:left="0" w:leftChars="0" w:firstLine="0" w:firstLineChars="0"/>
        <w:rPr>
          <w:rFonts w:hint="default"/>
          <w:b/>
          <w:bCs/>
          <w:sz w:val="21"/>
          <w:szCs w:val="21"/>
          <w:lang w:val="en-US" w:eastAsia="zh-CN"/>
        </w:rPr>
      </w:pPr>
    </w:p>
    <w:p>
      <w:pPr>
        <w:pStyle w:val="12"/>
        <w:ind w:left="0" w:leftChars="0" w:firstLine="0" w:firstLineChars="0"/>
        <w:rPr>
          <w:rFonts w:hint="default"/>
          <w:b/>
          <w:bCs/>
          <w:sz w:val="21"/>
          <w:szCs w:val="21"/>
          <w:lang w:val="en-US" w:eastAsia="zh-CN"/>
        </w:rPr>
      </w:pPr>
    </w:p>
    <w:p>
      <w:pPr>
        <w:pStyle w:val="12"/>
        <w:ind w:left="0" w:leftChars="0" w:firstLine="0" w:firstLineChars="0"/>
        <w:rPr>
          <w:rFonts w:hint="eastAsia"/>
          <w:b/>
          <w:bCs/>
          <w:sz w:val="21"/>
          <w:szCs w:val="21"/>
          <w:lang w:val="en-US" w:eastAsia="zh-CN"/>
        </w:rPr>
      </w:pPr>
      <w:r>
        <w:rPr>
          <w:rFonts w:hint="default"/>
          <w:b/>
          <w:bCs/>
          <w:sz w:val="21"/>
          <w:szCs w:val="21"/>
          <w:lang w:val="en-US" w:eastAsia="zh-CN"/>
        </w:rPr>
        <w:t>附   录</w:t>
      </w:r>
      <w:r>
        <w:rPr>
          <w:rFonts w:hint="eastAsia"/>
          <w:b/>
          <w:bCs/>
          <w:sz w:val="21"/>
          <w:szCs w:val="21"/>
          <w:lang w:val="en-US" w:eastAsia="zh-CN"/>
        </w:rPr>
        <w:t>B</w:t>
      </w:r>
    </w:p>
    <w:p>
      <w:pPr>
        <w:pStyle w:val="12"/>
        <w:ind w:left="0" w:leftChars="0" w:firstLine="0" w:firstLineChars="0"/>
        <w:rPr>
          <w:rFonts w:hint="default"/>
          <w:b w:val="0"/>
          <w:bCs w:val="0"/>
          <w:sz w:val="21"/>
          <w:szCs w:val="21"/>
          <w:lang w:val="en-US" w:eastAsia="zh-CN"/>
        </w:rPr>
      </w:pPr>
    </w:p>
    <w:p>
      <w:pPr>
        <w:pStyle w:val="12"/>
        <w:ind w:left="0" w:leftChars="0" w:firstLine="0" w:firstLineChars="0"/>
        <w:rPr>
          <w:rFonts w:hint="default"/>
          <w:b/>
          <w:bCs/>
          <w:sz w:val="21"/>
          <w:szCs w:val="21"/>
          <w:lang w:val="en-US" w:eastAsia="zh-CN"/>
        </w:rPr>
      </w:pPr>
      <w:r>
        <w:rPr>
          <w:rFonts w:hint="default"/>
          <w:b/>
          <w:bCs/>
          <w:sz w:val="21"/>
          <w:szCs w:val="21"/>
          <w:lang w:val="en-US" w:eastAsia="zh-CN"/>
        </w:rPr>
        <w:t>水分测定</w:t>
      </w:r>
    </w:p>
    <w:p>
      <w:pPr>
        <w:pStyle w:val="12"/>
        <w:ind w:left="0" w:leftChars="0" w:firstLine="0" w:firstLineChars="0"/>
        <w:rPr>
          <w:rFonts w:hint="default"/>
          <w:b/>
          <w:bCs/>
          <w:sz w:val="21"/>
          <w:szCs w:val="21"/>
          <w:lang w:val="en-US" w:eastAsia="zh-CN"/>
        </w:rPr>
      </w:pPr>
      <w:r>
        <w:rPr>
          <w:rFonts w:hint="default"/>
          <w:b/>
          <w:bCs/>
          <w:sz w:val="21"/>
          <w:szCs w:val="21"/>
          <w:lang w:val="en-US" w:eastAsia="zh-CN"/>
        </w:rPr>
        <w:t>1  仪器设备</w:t>
      </w:r>
    </w:p>
    <w:p>
      <w:pPr>
        <w:pStyle w:val="12"/>
        <w:ind w:left="0" w:leftChars="0" w:firstLine="0" w:firstLineChars="0"/>
        <w:rPr>
          <w:rFonts w:hint="default"/>
          <w:b w:val="0"/>
          <w:bCs w:val="0"/>
          <w:sz w:val="21"/>
          <w:szCs w:val="21"/>
          <w:lang w:val="en-US" w:eastAsia="zh-CN"/>
        </w:rPr>
      </w:pPr>
      <w:r>
        <w:rPr>
          <w:rFonts w:hint="default"/>
          <w:b w:val="0"/>
          <w:bCs w:val="0"/>
          <w:sz w:val="21"/>
          <w:szCs w:val="21"/>
          <w:lang w:val="en-US" w:eastAsia="zh-CN"/>
        </w:rPr>
        <w:t>a．恒温烘箱：装有可移动多孔的铁丝网架和可测到0.5℃的温度计。</w:t>
      </w:r>
    </w:p>
    <w:p>
      <w:pPr>
        <w:pStyle w:val="12"/>
        <w:ind w:left="0" w:leftChars="0" w:firstLine="0" w:firstLineChars="0"/>
        <w:rPr>
          <w:rFonts w:hint="default"/>
          <w:b w:val="0"/>
          <w:bCs w:val="0"/>
          <w:sz w:val="21"/>
          <w:szCs w:val="21"/>
          <w:lang w:val="en-US" w:eastAsia="zh-CN"/>
        </w:rPr>
      </w:pPr>
      <w:r>
        <w:rPr>
          <w:rFonts w:hint="default"/>
          <w:b w:val="0"/>
          <w:bCs w:val="0"/>
          <w:sz w:val="21"/>
          <w:szCs w:val="21"/>
          <w:lang w:val="en-US" w:eastAsia="zh-CN"/>
        </w:rPr>
        <w:t>b．粉碎（磨粉）机：备有0.5，1.0和4.0mm的金属丝筛子。</w:t>
      </w:r>
    </w:p>
    <w:p>
      <w:pPr>
        <w:pStyle w:val="12"/>
        <w:ind w:left="0" w:leftChars="0" w:firstLine="0" w:firstLineChars="0"/>
        <w:rPr>
          <w:rFonts w:hint="default"/>
          <w:b w:val="0"/>
          <w:bCs w:val="0"/>
          <w:sz w:val="21"/>
          <w:szCs w:val="21"/>
          <w:lang w:val="en-US" w:eastAsia="zh-CN"/>
        </w:rPr>
      </w:pPr>
      <w:r>
        <w:rPr>
          <w:rFonts w:hint="default"/>
          <w:b w:val="0"/>
          <w:bCs w:val="0"/>
          <w:sz w:val="21"/>
          <w:szCs w:val="21"/>
          <w:lang w:val="en-US" w:eastAsia="zh-CN"/>
        </w:rPr>
        <w:t>c．样品盒、干燥器、干燥剂等。</w:t>
      </w:r>
    </w:p>
    <w:p>
      <w:pPr>
        <w:pStyle w:val="12"/>
        <w:ind w:left="0" w:leftChars="0" w:firstLine="0" w:firstLineChars="0"/>
        <w:rPr>
          <w:rFonts w:hint="default"/>
          <w:b w:val="0"/>
          <w:bCs w:val="0"/>
          <w:sz w:val="21"/>
          <w:szCs w:val="21"/>
          <w:lang w:val="en-US" w:eastAsia="zh-CN"/>
        </w:rPr>
      </w:pPr>
      <w:r>
        <w:rPr>
          <w:rFonts w:hint="default"/>
          <w:b w:val="0"/>
          <w:bCs w:val="0"/>
          <w:sz w:val="21"/>
          <w:szCs w:val="21"/>
          <w:lang w:val="en-US" w:eastAsia="zh-CN"/>
        </w:rPr>
        <w:t>d．天平：感量达到0.001g。</w:t>
      </w:r>
    </w:p>
    <w:p>
      <w:pPr>
        <w:pStyle w:val="12"/>
        <w:ind w:left="0" w:leftChars="0" w:firstLine="0" w:firstLineChars="0"/>
        <w:rPr>
          <w:rFonts w:hint="default"/>
          <w:b/>
          <w:bCs/>
          <w:sz w:val="21"/>
          <w:szCs w:val="21"/>
          <w:lang w:val="en-US" w:eastAsia="zh-CN"/>
        </w:rPr>
      </w:pPr>
      <w:r>
        <w:rPr>
          <w:rFonts w:hint="default"/>
          <w:b/>
          <w:bCs/>
          <w:sz w:val="21"/>
          <w:szCs w:val="21"/>
          <w:lang w:val="en-US" w:eastAsia="zh-CN"/>
        </w:rPr>
        <w:t>2  测定程序</w:t>
      </w:r>
    </w:p>
    <w:p>
      <w:pPr>
        <w:pStyle w:val="12"/>
        <w:ind w:left="0" w:leftChars="0" w:firstLine="0" w:firstLineChars="0"/>
        <w:rPr>
          <w:rFonts w:hint="default"/>
          <w:b w:val="0"/>
          <w:bCs w:val="0"/>
          <w:sz w:val="21"/>
          <w:szCs w:val="21"/>
          <w:lang w:val="en-US" w:eastAsia="zh-CN"/>
        </w:rPr>
      </w:pPr>
      <w:r>
        <w:rPr>
          <w:rFonts w:hint="default"/>
          <w:b w:val="0"/>
          <w:bCs w:val="0"/>
          <w:sz w:val="21"/>
          <w:szCs w:val="21"/>
          <w:lang w:val="en-US" w:eastAsia="zh-CN"/>
        </w:rPr>
        <w:t>由于自由水易受外界环境条件的影响，所以应采取一些措施尽量防止水分的丧失。如送验样品必须装在防湿容器中，并尽可能排除其中的空气；样品接收后立即测定；测定过程中的取样、磨碎和称重须操作迅速；避免磨碎蒸发等。</w:t>
      </w:r>
    </w:p>
    <w:p>
      <w:pPr>
        <w:pStyle w:val="12"/>
        <w:ind w:left="0" w:leftChars="0" w:firstLine="0" w:firstLineChars="0"/>
        <w:rPr>
          <w:rFonts w:hint="default"/>
          <w:b w:val="0"/>
          <w:bCs w:val="0"/>
          <w:sz w:val="21"/>
          <w:szCs w:val="21"/>
          <w:lang w:val="en-US" w:eastAsia="zh-CN"/>
        </w:rPr>
      </w:pPr>
      <w:r>
        <w:rPr>
          <w:rFonts w:hint="default"/>
          <w:b w:val="0"/>
          <w:bCs w:val="0"/>
          <w:sz w:val="21"/>
          <w:szCs w:val="21"/>
          <w:lang w:val="en-US" w:eastAsia="zh-CN"/>
        </w:rPr>
        <w:t>2.1  取样磨碎</w:t>
      </w:r>
    </w:p>
    <w:p>
      <w:pPr>
        <w:pStyle w:val="12"/>
        <w:ind w:left="0" w:leftChars="0" w:firstLine="0" w:firstLineChars="0"/>
        <w:rPr>
          <w:rFonts w:hint="default"/>
          <w:b w:val="0"/>
          <w:bCs w:val="0"/>
          <w:sz w:val="21"/>
          <w:szCs w:val="21"/>
          <w:lang w:val="en-US" w:eastAsia="zh-CN"/>
        </w:rPr>
      </w:pPr>
      <w:r>
        <w:rPr>
          <w:rFonts w:hint="default"/>
          <w:b w:val="0"/>
          <w:bCs w:val="0"/>
          <w:sz w:val="21"/>
          <w:szCs w:val="21"/>
          <w:lang w:val="en-US" w:eastAsia="zh-CN"/>
        </w:rPr>
        <w:t>供水分测定的送验样品用下列一种方法进行充分混合，并从此送验样品中取15</w:t>
      </w:r>
      <w:r>
        <w:rPr>
          <w:rFonts w:hint="eastAsia"/>
          <w:b w:val="0"/>
          <w:bCs w:val="0"/>
          <w:sz w:val="21"/>
          <w:szCs w:val="21"/>
          <w:lang w:val="en-US" w:eastAsia="zh-CN"/>
        </w:rPr>
        <w:t>-</w:t>
      </w:r>
      <w:r>
        <w:rPr>
          <w:rFonts w:hint="default"/>
          <w:b w:val="0"/>
          <w:bCs w:val="0"/>
          <w:sz w:val="21"/>
          <w:szCs w:val="21"/>
          <w:lang w:val="en-US" w:eastAsia="zh-CN"/>
        </w:rPr>
        <w:t>25g</w:t>
      </w:r>
      <w:r>
        <w:rPr>
          <w:rFonts w:hint="eastAsia"/>
          <w:b w:val="0"/>
          <w:bCs w:val="0"/>
          <w:sz w:val="21"/>
          <w:szCs w:val="21"/>
          <w:lang w:val="en-US" w:eastAsia="zh-CN"/>
        </w:rPr>
        <w:t>两份</w:t>
      </w:r>
      <w:r>
        <w:rPr>
          <w:rFonts w:hint="default"/>
          <w:b w:val="0"/>
          <w:bCs w:val="0"/>
          <w:sz w:val="21"/>
          <w:szCs w:val="21"/>
          <w:lang w:val="en-US" w:eastAsia="zh-CN"/>
        </w:rPr>
        <w:t>。</w:t>
      </w:r>
    </w:p>
    <w:p>
      <w:pPr>
        <w:pStyle w:val="12"/>
        <w:ind w:left="0" w:leftChars="0" w:firstLine="0" w:firstLineChars="0"/>
        <w:rPr>
          <w:rFonts w:hint="default"/>
          <w:b w:val="0"/>
          <w:bCs w:val="0"/>
          <w:sz w:val="21"/>
          <w:szCs w:val="21"/>
          <w:lang w:val="en-US" w:eastAsia="zh-CN"/>
        </w:rPr>
      </w:pPr>
      <w:r>
        <w:rPr>
          <w:rFonts w:hint="default"/>
          <w:b w:val="0"/>
          <w:bCs w:val="0"/>
          <w:sz w:val="21"/>
          <w:szCs w:val="21"/>
          <w:lang w:val="en-US" w:eastAsia="zh-CN"/>
        </w:rPr>
        <w:t>a．用匙在样品罐内搅拌。</w:t>
      </w:r>
    </w:p>
    <w:p>
      <w:pPr>
        <w:pStyle w:val="12"/>
        <w:ind w:left="0" w:leftChars="0" w:firstLine="0" w:firstLineChars="0"/>
        <w:rPr>
          <w:rFonts w:hint="default"/>
          <w:b w:val="0"/>
          <w:bCs w:val="0"/>
          <w:sz w:val="21"/>
          <w:szCs w:val="21"/>
          <w:lang w:val="en-US" w:eastAsia="zh-CN"/>
        </w:rPr>
      </w:pPr>
      <w:r>
        <w:rPr>
          <w:rFonts w:hint="default"/>
          <w:b w:val="0"/>
          <w:bCs w:val="0"/>
          <w:sz w:val="21"/>
          <w:szCs w:val="21"/>
          <w:lang w:val="en-US" w:eastAsia="zh-CN"/>
        </w:rPr>
        <w:t>b．将原样品罐的罐口对准另一个同样大小的空罐口，把种子在两个容器间往返倾倒。烘干前必须磨碎，磨碎细度：需要粗磨，至少有50%的磨碎成分通过4.0mm筛孔。</w:t>
      </w:r>
    </w:p>
    <w:p>
      <w:pPr>
        <w:pStyle w:val="12"/>
        <w:ind w:left="0" w:leftChars="0" w:firstLine="0" w:firstLineChars="0"/>
        <w:rPr>
          <w:rFonts w:hint="default"/>
          <w:b w:val="0"/>
          <w:bCs w:val="0"/>
          <w:sz w:val="21"/>
          <w:szCs w:val="21"/>
          <w:lang w:val="en-US" w:eastAsia="zh-CN"/>
        </w:rPr>
      </w:pPr>
      <w:r>
        <w:rPr>
          <w:rFonts w:hint="default"/>
          <w:b w:val="0"/>
          <w:bCs w:val="0"/>
          <w:sz w:val="21"/>
          <w:szCs w:val="21"/>
          <w:lang w:val="en-US" w:eastAsia="zh-CN"/>
        </w:rPr>
        <w:t>2.2  烘干称重</w:t>
      </w:r>
    </w:p>
    <w:p>
      <w:pPr>
        <w:pStyle w:val="12"/>
        <w:ind w:left="0" w:leftChars="0" w:firstLine="0" w:firstLineChars="0"/>
        <w:rPr>
          <w:rFonts w:hint="default"/>
          <w:b w:val="0"/>
          <w:bCs w:val="0"/>
          <w:sz w:val="21"/>
          <w:szCs w:val="21"/>
          <w:lang w:val="en-US" w:eastAsia="zh-CN"/>
        </w:rPr>
      </w:pPr>
      <w:r>
        <w:rPr>
          <w:rFonts w:hint="default"/>
          <w:b w:val="0"/>
          <w:bCs w:val="0"/>
          <w:sz w:val="21"/>
          <w:szCs w:val="21"/>
          <w:lang w:val="en-US" w:eastAsia="zh-CN"/>
        </w:rPr>
        <w:t>采用高温烘干法：先将样品盒预先烘干、冷却、称重，并记下盒号，取得试样两份，每份</w:t>
      </w:r>
      <w:r>
        <w:rPr>
          <w:rFonts w:hint="eastAsia"/>
          <w:b w:val="0"/>
          <w:bCs w:val="0"/>
          <w:sz w:val="21"/>
          <w:szCs w:val="21"/>
          <w:lang w:val="en-US" w:eastAsia="zh-CN"/>
        </w:rPr>
        <w:t>1</w:t>
      </w:r>
      <w:r>
        <w:rPr>
          <w:rFonts w:hint="default"/>
          <w:b w:val="0"/>
          <w:bCs w:val="0"/>
          <w:sz w:val="21"/>
          <w:szCs w:val="21"/>
          <w:lang w:val="en-US" w:eastAsia="zh-CN"/>
        </w:rPr>
        <w:t>5～</w:t>
      </w:r>
      <w:r>
        <w:rPr>
          <w:rFonts w:hint="eastAsia"/>
          <w:b w:val="0"/>
          <w:bCs w:val="0"/>
          <w:sz w:val="21"/>
          <w:szCs w:val="21"/>
          <w:lang w:val="en-US" w:eastAsia="zh-CN"/>
        </w:rPr>
        <w:t>2</w:t>
      </w:r>
      <w:r>
        <w:rPr>
          <w:rFonts w:hint="default"/>
          <w:b w:val="0"/>
          <w:bCs w:val="0"/>
          <w:sz w:val="21"/>
          <w:szCs w:val="21"/>
          <w:lang w:val="en-US" w:eastAsia="zh-CN"/>
        </w:rPr>
        <w:t>5g，将试样放入预先烘干和称重过的样品盒内，再称重（精确至0.001g）。将样品摊平放入烘箱内的上层，样品盒距温度计的水银球约2.5cm处，迅速关闭烘箱门，使箱温在10</w:t>
      </w:r>
      <w:r>
        <w:rPr>
          <w:rFonts w:hint="eastAsia"/>
          <w:b w:val="0"/>
          <w:bCs w:val="0"/>
          <w:sz w:val="21"/>
          <w:szCs w:val="21"/>
          <w:lang w:val="en-US" w:eastAsia="zh-CN"/>
        </w:rPr>
        <w:t>5</w:t>
      </w:r>
      <w:r>
        <w:rPr>
          <w:rFonts w:hint="default"/>
          <w:b w:val="0"/>
          <w:bCs w:val="0"/>
          <w:sz w:val="21"/>
          <w:szCs w:val="21"/>
          <w:lang w:val="en-US" w:eastAsia="zh-CN"/>
        </w:rPr>
        <w:t>℃，样品烘干时间为</w:t>
      </w:r>
      <w:r>
        <w:rPr>
          <w:rFonts w:hint="eastAsia"/>
          <w:b w:val="0"/>
          <w:bCs w:val="0"/>
          <w:sz w:val="21"/>
          <w:szCs w:val="21"/>
          <w:lang w:val="en-US" w:eastAsia="zh-CN"/>
        </w:rPr>
        <w:t>4</w:t>
      </w:r>
      <w:r>
        <w:rPr>
          <w:rFonts w:hint="default"/>
          <w:b w:val="0"/>
          <w:bCs w:val="0"/>
          <w:sz w:val="21"/>
          <w:szCs w:val="21"/>
          <w:lang w:val="en-US" w:eastAsia="zh-CN"/>
        </w:rPr>
        <w:t>h。用坩锅钳或戴上手套盖好盒盖（在箱内加盖）取出后放入干燥器内冷却至室温，约30～45min后再称重。</w:t>
      </w:r>
    </w:p>
    <w:p>
      <w:pPr>
        <w:pStyle w:val="12"/>
        <w:ind w:left="0" w:leftChars="0" w:firstLine="0" w:firstLineChars="0"/>
        <w:rPr>
          <w:rFonts w:hint="default"/>
          <w:b/>
          <w:bCs/>
          <w:sz w:val="21"/>
          <w:szCs w:val="21"/>
          <w:lang w:val="en-US" w:eastAsia="zh-CN"/>
        </w:rPr>
      </w:pPr>
      <w:r>
        <w:rPr>
          <w:rFonts w:hint="default"/>
          <w:b/>
          <w:bCs/>
          <w:sz w:val="21"/>
          <w:szCs w:val="21"/>
          <w:lang w:val="en-US" w:eastAsia="zh-CN"/>
        </w:rPr>
        <w:t>3  结果计算</w:t>
      </w:r>
    </w:p>
    <w:p>
      <w:pPr>
        <w:pStyle w:val="12"/>
        <w:ind w:left="0" w:leftChars="0" w:firstLine="0" w:firstLineChars="0"/>
        <w:rPr>
          <w:rFonts w:hint="default"/>
          <w:b w:val="0"/>
          <w:bCs w:val="0"/>
          <w:sz w:val="21"/>
          <w:szCs w:val="21"/>
          <w:lang w:val="en-US" w:eastAsia="zh-CN"/>
        </w:rPr>
      </w:pPr>
      <w:r>
        <w:rPr>
          <w:rFonts w:hint="default"/>
          <w:b w:val="0"/>
          <w:bCs w:val="0"/>
          <w:sz w:val="21"/>
          <w:szCs w:val="21"/>
          <w:lang w:val="en-US" w:eastAsia="zh-CN"/>
        </w:rPr>
        <w:t>a.根据烘后失去的重量计算种子水分百分率，按式（1）计算到小数点后一位：</w:t>
      </w:r>
    </w:p>
    <w:p>
      <w:pPr>
        <w:pStyle w:val="12"/>
        <w:ind w:left="0" w:leftChars="0" w:firstLine="0" w:firstLineChars="0"/>
        <w:rPr>
          <w:rFonts w:hint="default"/>
          <w:b w:val="0"/>
          <w:bCs w:val="0"/>
          <w:sz w:val="21"/>
          <w:szCs w:val="21"/>
          <w:lang w:val="en-US" w:eastAsia="zh-CN"/>
        </w:rPr>
      </w:pPr>
      <w:r>
        <w:rPr>
          <w:rFonts w:hint="default"/>
          <w:b w:val="0"/>
          <w:bCs w:val="0"/>
          <w:sz w:val="21"/>
          <w:szCs w:val="21"/>
          <w:lang w:val="en-US" w:eastAsia="zh-CN"/>
        </w:rPr>
        <w:t>式(1 )：种子水分（%）=（M2-M3）/ (</w:t>
      </w:r>
      <w:r>
        <w:rPr>
          <w:rFonts w:hint="eastAsia"/>
          <w:b w:val="0"/>
          <w:bCs w:val="0"/>
          <w:sz w:val="21"/>
          <w:szCs w:val="21"/>
          <w:lang w:val="en-US" w:eastAsia="zh-CN"/>
        </w:rPr>
        <w:t>M</w:t>
      </w:r>
      <w:r>
        <w:rPr>
          <w:rFonts w:hint="default"/>
          <w:b w:val="0"/>
          <w:bCs w:val="0"/>
          <w:sz w:val="21"/>
          <w:szCs w:val="21"/>
          <w:lang w:val="en-US" w:eastAsia="zh-CN"/>
        </w:rPr>
        <w:t>2-</w:t>
      </w:r>
      <w:r>
        <w:rPr>
          <w:rFonts w:hint="eastAsia"/>
          <w:b w:val="0"/>
          <w:bCs w:val="0"/>
          <w:sz w:val="21"/>
          <w:szCs w:val="21"/>
          <w:lang w:val="en-US" w:eastAsia="zh-CN"/>
        </w:rPr>
        <w:t>M</w:t>
      </w:r>
      <w:r>
        <w:rPr>
          <w:rFonts w:hint="default"/>
          <w:b w:val="0"/>
          <w:bCs w:val="0"/>
          <w:sz w:val="21"/>
          <w:szCs w:val="21"/>
          <w:lang w:val="en-US" w:eastAsia="zh-CN"/>
        </w:rPr>
        <w:t>1)×100</w:t>
      </w:r>
    </w:p>
    <w:p>
      <w:pPr>
        <w:pStyle w:val="12"/>
        <w:ind w:left="0" w:leftChars="0" w:firstLine="0" w:firstLineChars="0"/>
        <w:rPr>
          <w:rFonts w:hint="default"/>
          <w:b w:val="0"/>
          <w:bCs w:val="0"/>
          <w:sz w:val="21"/>
          <w:szCs w:val="21"/>
          <w:lang w:val="en-US" w:eastAsia="zh-CN"/>
        </w:rPr>
      </w:pPr>
      <w:r>
        <w:rPr>
          <w:rFonts w:hint="default"/>
          <w:b w:val="0"/>
          <w:bCs w:val="0"/>
          <w:sz w:val="21"/>
          <w:szCs w:val="21"/>
          <w:lang w:val="en-US" w:eastAsia="zh-CN"/>
        </w:rPr>
        <w:t>式中：</w:t>
      </w:r>
    </w:p>
    <w:p>
      <w:pPr>
        <w:pStyle w:val="12"/>
        <w:ind w:left="0" w:leftChars="0" w:firstLine="0" w:firstLineChars="0"/>
        <w:rPr>
          <w:rFonts w:hint="default"/>
          <w:b w:val="0"/>
          <w:bCs w:val="0"/>
          <w:sz w:val="21"/>
          <w:szCs w:val="21"/>
          <w:lang w:val="en-US" w:eastAsia="zh-CN"/>
        </w:rPr>
      </w:pPr>
      <w:r>
        <w:rPr>
          <w:rFonts w:hint="default"/>
          <w:b w:val="0"/>
          <w:bCs w:val="0"/>
          <w:sz w:val="21"/>
          <w:szCs w:val="21"/>
          <w:lang w:val="en-US" w:eastAsia="zh-CN"/>
        </w:rPr>
        <w:t>M1——样品盒和盖的重量g;</w:t>
      </w:r>
    </w:p>
    <w:p>
      <w:pPr>
        <w:pStyle w:val="12"/>
        <w:ind w:left="0" w:leftChars="0" w:firstLine="0" w:firstLineChars="0"/>
        <w:rPr>
          <w:rFonts w:hint="default"/>
          <w:b w:val="0"/>
          <w:bCs w:val="0"/>
          <w:sz w:val="21"/>
          <w:szCs w:val="21"/>
          <w:lang w:val="en-US" w:eastAsia="zh-CN"/>
        </w:rPr>
      </w:pPr>
      <w:r>
        <w:rPr>
          <w:rFonts w:hint="default"/>
          <w:b w:val="0"/>
          <w:bCs w:val="0"/>
          <w:sz w:val="21"/>
          <w:szCs w:val="21"/>
          <w:lang w:val="en-US" w:eastAsia="zh-CN"/>
        </w:rPr>
        <w:t>M2——样品盒和盖及样品烘前重量g;</w:t>
      </w:r>
    </w:p>
    <w:p>
      <w:pPr>
        <w:pStyle w:val="12"/>
        <w:ind w:left="0" w:leftChars="0" w:firstLine="0" w:firstLineChars="0"/>
        <w:rPr>
          <w:rFonts w:hint="default"/>
          <w:b w:val="0"/>
          <w:bCs w:val="0"/>
          <w:sz w:val="21"/>
          <w:szCs w:val="21"/>
          <w:lang w:val="en-US" w:eastAsia="zh-CN"/>
        </w:rPr>
      </w:pPr>
      <w:r>
        <w:rPr>
          <w:rFonts w:hint="default"/>
          <w:b w:val="0"/>
          <w:bCs w:val="0"/>
          <w:sz w:val="21"/>
          <w:szCs w:val="21"/>
          <w:lang w:val="en-US" w:eastAsia="zh-CN"/>
        </w:rPr>
        <w:t>M3——样品盒和盖及样品烘后重量g;</w:t>
      </w:r>
    </w:p>
    <w:p>
      <w:pPr>
        <w:pStyle w:val="12"/>
        <w:ind w:left="0" w:leftChars="0" w:firstLine="0" w:firstLineChars="0"/>
        <w:rPr>
          <w:rFonts w:hint="default"/>
          <w:b w:val="0"/>
          <w:bCs w:val="0"/>
          <w:sz w:val="21"/>
          <w:szCs w:val="21"/>
          <w:lang w:val="en-US" w:eastAsia="zh-CN"/>
        </w:rPr>
      </w:pPr>
      <w:r>
        <w:rPr>
          <w:rFonts w:hint="default"/>
          <w:b w:val="0"/>
          <w:bCs w:val="0"/>
          <w:sz w:val="21"/>
          <w:szCs w:val="21"/>
          <w:lang w:val="en-US" w:eastAsia="zh-CN"/>
        </w:rPr>
        <w:t>b.容许误差：若一个样品的两次测定之间的差距不超过0.2%，其结果可用两次测定值的算术平均数表示。否则，重做两次测定。</w:t>
      </w:r>
    </w:p>
    <w:p>
      <w:pPr>
        <w:pStyle w:val="12"/>
        <w:ind w:left="0" w:leftChars="0" w:firstLine="0" w:firstLineChars="0"/>
        <w:rPr>
          <w:rFonts w:hint="default"/>
          <w:b w:val="0"/>
          <w:bCs w:val="0"/>
          <w:sz w:val="21"/>
          <w:szCs w:val="21"/>
          <w:lang w:val="en-US" w:eastAsia="zh-CN"/>
        </w:rPr>
      </w:pPr>
      <w:r>
        <w:rPr>
          <w:rFonts w:hint="default"/>
          <w:b w:val="0"/>
          <w:bCs w:val="0"/>
          <w:sz w:val="21"/>
          <w:szCs w:val="21"/>
          <w:lang w:val="en-US" w:eastAsia="zh-CN"/>
        </w:rPr>
        <w:t>4  结果报告</w:t>
      </w:r>
    </w:p>
    <w:p>
      <w:pPr>
        <w:pStyle w:val="12"/>
        <w:ind w:left="0" w:leftChars="0" w:firstLine="0" w:firstLineChars="0"/>
        <w:rPr>
          <w:rFonts w:hint="eastAsia"/>
          <w:b w:val="0"/>
          <w:bCs w:val="0"/>
          <w:sz w:val="21"/>
          <w:szCs w:val="21"/>
          <w:lang w:val="en-US" w:eastAsia="zh-CN"/>
        </w:rPr>
      </w:pPr>
      <w:r>
        <w:rPr>
          <w:rFonts w:hint="default"/>
          <w:b w:val="0"/>
          <w:bCs w:val="0"/>
          <w:sz w:val="21"/>
          <w:szCs w:val="21"/>
          <w:lang w:val="en-US" w:eastAsia="zh-CN"/>
        </w:rPr>
        <w:t>结果填报在检验结果报告单的规定空格中，精确度为0.1%</w:t>
      </w:r>
      <w:r>
        <w:rPr>
          <w:rFonts w:hint="eastAsia"/>
          <w:b w:val="0"/>
          <w:bCs w:val="0"/>
          <w:sz w:val="21"/>
          <w:szCs w:val="21"/>
          <w:lang w:val="en-US" w:eastAsia="zh-CN"/>
        </w:rPr>
        <w:t>。</w:t>
      </w:r>
    </w:p>
    <w:p>
      <w:pPr>
        <w:pStyle w:val="12"/>
        <w:ind w:left="0" w:leftChars="0" w:firstLine="0" w:firstLineChars="0"/>
        <w:rPr>
          <w:rFonts w:hint="eastAsia"/>
          <w:b w:val="0"/>
          <w:bCs w:val="0"/>
          <w:sz w:val="21"/>
          <w:szCs w:val="21"/>
          <w:lang w:val="en-US" w:eastAsia="zh-CN"/>
        </w:rPr>
      </w:pPr>
    </w:p>
    <w:p>
      <w:pPr>
        <w:pStyle w:val="12"/>
        <w:ind w:left="0" w:leftChars="0" w:firstLine="0" w:firstLineChars="0"/>
        <w:rPr>
          <w:rFonts w:hint="eastAsia" w:ascii="宋体" w:hAnsi="宋体" w:eastAsia="宋体" w:cs="Times New Roman"/>
          <w:b w:val="0"/>
          <w:bCs w:val="0"/>
          <w:color w:val="000000"/>
          <w:sz w:val="24"/>
          <w:szCs w:val="24"/>
          <w:lang w:val="en-US" w:eastAsia="zh-CN"/>
        </w:rPr>
      </w:pPr>
    </w:p>
    <w:p>
      <w:pPr>
        <w:pStyle w:val="12"/>
        <w:ind w:left="0" w:leftChars="0" w:firstLine="0" w:firstLineChars="0"/>
        <w:rPr>
          <w:rFonts w:hint="eastAsia" w:ascii="宋体" w:hAnsi="宋体" w:eastAsia="宋体" w:cs="Times New Roman"/>
          <w:b w:val="0"/>
          <w:bCs w:val="0"/>
          <w:color w:val="000000"/>
          <w:sz w:val="24"/>
          <w:szCs w:val="24"/>
          <w:lang w:val="en-US" w:eastAsia="zh-CN"/>
        </w:rPr>
      </w:pPr>
    </w:p>
    <w:p>
      <w:pPr>
        <w:pStyle w:val="12"/>
        <w:ind w:left="0" w:leftChars="0" w:firstLine="0" w:firstLineChars="0"/>
        <w:rPr>
          <w:rFonts w:hint="eastAsia" w:ascii="宋体" w:hAnsi="宋体" w:eastAsia="宋体" w:cs="Times New Roman"/>
          <w:b w:val="0"/>
          <w:bCs w:val="0"/>
          <w:color w:val="000000"/>
          <w:sz w:val="24"/>
          <w:szCs w:val="24"/>
          <w:lang w:val="en-US" w:eastAsia="zh-CN"/>
        </w:rPr>
      </w:pPr>
    </w:p>
    <w:p>
      <w:pPr>
        <w:pStyle w:val="12"/>
        <w:ind w:left="0" w:leftChars="0" w:firstLine="0" w:firstLineChars="0"/>
        <w:rPr>
          <w:rFonts w:hint="eastAsia" w:ascii="宋体" w:hAnsi="宋体" w:eastAsia="宋体" w:cs="Times New Roman"/>
          <w:b w:val="0"/>
          <w:bCs w:val="0"/>
          <w:color w:val="000000"/>
          <w:sz w:val="24"/>
          <w:szCs w:val="24"/>
          <w:lang w:val="en-US" w:eastAsia="zh-CN"/>
        </w:rPr>
      </w:pPr>
    </w:p>
    <w:p>
      <w:pPr>
        <w:pStyle w:val="12"/>
        <w:ind w:firstLine="2891" w:firstLineChars="800"/>
        <w:jc w:val="both"/>
        <w:rPr>
          <w:rFonts w:hint="eastAsia" w:hAnsi="宋体" w:cs="Times New Roman"/>
          <w:b/>
          <w:bCs/>
          <w:color w:val="000000"/>
          <w:sz w:val="36"/>
          <w:szCs w:val="36"/>
          <w:lang w:val="en-US" w:eastAsia="zh-CN"/>
        </w:rPr>
      </w:pPr>
    </w:p>
    <w:p>
      <w:pPr>
        <w:pStyle w:val="12"/>
        <w:ind w:firstLine="2891" w:firstLineChars="800"/>
        <w:jc w:val="both"/>
        <w:rPr>
          <w:rFonts w:hint="eastAsia" w:hAnsi="宋体" w:cs="Times New Roman"/>
          <w:b/>
          <w:bCs/>
          <w:color w:val="000000"/>
          <w:sz w:val="36"/>
          <w:szCs w:val="36"/>
          <w:lang w:val="en-US" w:eastAsia="zh-CN"/>
        </w:rPr>
      </w:pPr>
    </w:p>
    <w:p>
      <w:pPr>
        <w:pStyle w:val="12"/>
        <w:ind w:firstLine="2891" w:firstLineChars="800"/>
        <w:jc w:val="both"/>
        <w:rPr>
          <w:rFonts w:hint="default" w:ascii="宋体" w:hAnsi="宋体" w:eastAsia="宋体" w:cs="Times New Roman"/>
          <w:b/>
          <w:bCs/>
          <w:color w:val="000000"/>
          <w:sz w:val="36"/>
          <w:szCs w:val="36"/>
          <w:lang w:val="en-US" w:eastAsia="zh-CN"/>
        </w:rPr>
      </w:pPr>
      <w:r>
        <w:rPr>
          <w:rFonts w:hint="eastAsia" w:hAnsi="宋体" w:cs="Times New Roman"/>
          <w:b/>
          <w:bCs/>
          <w:color w:val="000000"/>
          <w:sz w:val="36"/>
          <w:szCs w:val="36"/>
          <w:lang w:val="en-US" w:eastAsia="zh-CN"/>
        </w:rPr>
        <w:t>编制说明</w:t>
      </w:r>
    </w:p>
    <w:p>
      <w:pPr>
        <w:pStyle w:val="12"/>
        <w:ind w:left="0" w:leftChars="0" w:firstLine="480" w:firstLineChars="200"/>
        <w:rPr>
          <w:rFonts w:hint="eastAsia" w:ascii="宋体" w:hAnsi="宋体" w:eastAsia="宋体" w:cs="Times New Roman"/>
          <w:b w:val="0"/>
          <w:bCs w:val="0"/>
          <w:color w:val="000000"/>
          <w:sz w:val="24"/>
          <w:szCs w:val="24"/>
          <w:lang w:val="en-US" w:eastAsia="zh-CN"/>
        </w:rPr>
      </w:pPr>
      <w:r>
        <w:rPr>
          <w:rFonts w:hint="eastAsia" w:ascii="宋体" w:hAnsi="宋体" w:eastAsia="宋体" w:cs="Times New Roman"/>
          <w:b w:val="0"/>
          <w:bCs w:val="0"/>
          <w:color w:val="000000"/>
          <w:sz w:val="24"/>
          <w:szCs w:val="24"/>
          <w:lang w:val="en-US" w:eastAsia="zh-CN"/>
        </w:rPr>
        <w:t>规范红花加工技术，可提高红花质量和效益，对红花产业可持续发展、调整优化红花产业结构、提高红花产品合格率、增加农民收入具有重要意义。因此，分析红花加工技术，总结出行之有效的红花全程采摘、晾晒</w:t>
      </w:r>
      <w:r>
        <w:rPr>
          <w:rFonts w:hint="eastAsia" w:hAnsi="宋体" w:cs="Times New Roman"/>
          <w:b w:val="0"/>
          <w:bCs w:val="0"/>
          <w:color w:val="000000"/>
          <w:sz w:val="24"/>
          <w:szCs w:val="24"/>
          <w:lang w:val="en-US" w:eastAsia="zh-CN"/>
        </w:rPr>
        <w:t>、烘干</w:t>
      </w:r>
      <w:r>
        <w:rPr>
          <w:rFonts w:hint="eastAsia" w:ascii="宋体" w:hAnsi="宋体" w:eastAsia="宋体" w:cs="Times New Roman"/>
          <w:b w:val="0"/>
          <w:bCs w:val="0"/>
          <w:color w:val="000000"/>
          <w:sz w:val="24"/>
          <w:szCs w:val="24"/>
          <w:lang w:val="en-US" w:eastAsia="zh-CN"/>
        </w:rPr>
        <w:t>模式，对保障我区红花优势产区地位，提高红花质量提供依据。通过制定伊犁州地方标准《红花加工技术规范》，以标准为抓手，统一规范伊犁州红花全过程生产技术，从红花的选择产地要求、采摘工具、晾晒材料、烘干、包装与贮运等内容要求，指导伊犁州红花种植户或加工企业对红花进行科学采摘、晾晒、生产和加工，从而提高农民、企业产品质量，有利于巩固伊犁州红花产业主产区地位，对推进农业现代化、增加红花出口量，推动农村社会经济发展有着重要意义。</w:t>
      </w:r>
    </w:p>
    <w:p>
      <w:pPr>
        <w:pStyle w:val="12"/>
        <w:ind w:left="0" w:leftChars="0" w:firstLine="480" w:firstLineChars="200"/>
        <w:rPr>
          <w:rFonts w:hint="default" w:ascii="宋体" w:hAnsi="宋体" w:eastAsia="宋体" w:cs="Times New Roman"/>
          <w:b w:val="0"/>
          <w:bCs w:val="0"/>
          <w:color w:val="000000"/>
          <w:sz w:val="24"/>
          <w:szCs w:val="24"/>
          <w:lang w:val="en-US" w:eastAsia="zh-CN"/>
        </w:rPr>
      </w:pPr>
      <w:r>
        <w:rPr>
          <w:rFonts w:hint="eastAsia" w:hAnsi="宋体" w:cs="Times New Roman"/>
          <w:b w:val="0"/>
          <w:bCs w:val="0"/>
          <w:color w:val="000000"/>
          <w:sz w:val="24"/>
          <w:szCs w:val="24"/>
          <w:lang w:val="en-US" w:eastAsia="zh-CN"/>
        </w:rPr>
        <w:t>本规范的提出，经过相关专家的讨论、答疑等环节，公示以后无异议，最终定稿。将原来的红花产地加工技术规范中的产地删除了；对烘干环节经过与新疆恩泽药业公司协商，对烘干温度、水分测定进行了细化和完善；对农残的要求与伊犁雅其娜农业发展有限公司对接，按照同仁堂集团企业标准进行了完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6378BF"/>
    <w:multiLevelType w:val="multilevel"/>
    <w:tmpl w:val="006378BF"/>
    <w:lvl w:ilvl="0" w:tentative="0">
      <w:start w:val="1"/>
      <w:numFmt w:val="none"/>
      <w:lvlText w:val="%1——"/>
      <w:lvlJc w:val="left"/>
      <w:pPr>
        <w:tabs>
          <w:tab w:val="left" w:pos="1140"/>
        </w:tabs>
        <w:ind w:left="840" w:hanging="420"/>
      </w:pPr>
      <w:rPr>
        <w:rFonts w:hint="eastAsia"/>
      </w:rPr>
    </w:lvl>
    <w:lvl w:ilvl="1" w:tentative="0">
      <w:start w:val="1"/>
      <w:numFmt w:val="lowerLetter"/>
      <w:pStyle w:val="25"/>
      <w:lvlText w:val="%2．"/>
      <w:lvlJc w:val="left"/>
      <w:pPr>
        <w:tabs>
          <w:tab w:val="left" w:pos="780"/>
        </w:tabs>
        <w:ind w:left="780" w:hanging="36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12A5A26"/>
    <w:multiLevelType w:val="multilevel"/>
    <w:tmpl w:val="612A5A26"/>
    <w:lvl w:ilvl="0" w:tentative="0">
      <w:start w:val="1"/>
      <w:numFmt w:val="decimal"/>
      <w:lvlText w:val="(%1)"/>
      <w:lvlJc w:val="left"/>
      <w:pPr>
        <w:ind w:left="360" w:hanging="360"/>
      </w:pPr>
      <w:rPr>
        <w:rFonts w:hint="default"/>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57D3FBC"/>
    <w:multiLevelType w:val="multilevel"/>
    <w:tmpl w:val="657D3FBC"/>
    <w:lvl w:ilvl="0" w:tentative="0">
      <w:start w:val="1"/>
      <w:numFmt w:val="upperLetter"/>
      <w:pStyle w:val="22"/>
      <w:suff w:val="nothing"/>
      <w:lvlText w:val="附　录　%1"/>
      <w:lvlJc w:val="left"/>
      <w:pPr>
        <w:ind w:left="0" w:firstLine="0"/>
      </w:pPr>
      <w:rPr>
        <w:rFonts w:hint="eastAsia" w:ascii="黑体" w:hAnsi="Times New Roman" w:eastAsia="黑体"/>
        <w:b w:val="0"/>
        <w:i w:val="0"/>
        <w:sz w:val="21"/>
      </w:rPr>
    </w:lvl>
    <w:lvl w:ilvl="1" w:tentative="0">
      <w:start w:val="1"/>
      <w:numFmt w:val="decimal"/>
      <w:pStyle w:val="23"/>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6CEA2025"/>
    <w:multiLevelType w:val="multilevel"/>
    <w:tmpl w:val="6CEA2025"/>
    <w:lvl w:ilvl="0" w:tentative="0">
      <w:start w:val="1"/>
      <w:numFmt w:val="none"/>
      <w:pStyle w:val="11"/>
      <w:suff w:val="nothing"/>
      <w:lvlText w:val="%1"/>
      <w:lvlJc w:val="left"/>
      <w:pPr>
        <w:ind w:left="0" w:firstLine="0"/>
      </w:pPr>
      <w:rPr>
        <w:rFonts w:hint="default" w:ascii="Times New Roman" w:hAnsi="Times New Roman"/>
        <w:b/>
        <w:i w:val="0"/>
        <w:sz w:val="21"/>
      </w:rPr>
    </w:lvl>
    <w:lvl w:ilvl="1" w:tentative="0">
      <w:start w:val="1"/>
      <w:numFmt w:val="decimal"/>
      <w:pStyle w:val="18"/>
      <w:suff w:val="nothing"/>
      <w:lvlText w:val="%1%2　"/>
      <w:lvlJc w:val="left"/>
      <w:pPr>
        <w:ind w:left="0" w:firstLine="0"/>
      </w:pPr>
      <w:rPr>
        <w:rFonts w:hint="eastAsia" w:ascii="黑体" w:hAnsi="Times New Roman" w:eastAsia="黑体"/>
        <w:b w:val="0"/>
        <w:i w:val="0"/>
        <w:sz w:val="21"/>
      </w:rPr>
    </w:lvl>
    <w:lvl w:ilvl="2" w:tentative="0">
      <w:start w:val="1"/>
      <w:numFmt w:val="decimal"/>
      <w:pStyle w:val="19"/>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34"/>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mODJlNWZiYzQzNzM5Y2Q2ZmJjZWY2ODNkNDBiYTcifQ=="/>
  </w:docVars>
  <w:rsids>
    <w:rsidRoot w:val="5D1E7F8F"/>
    <w:rsid w:val="07B725C4"/>
    <w:rsid w:val="07C376CA"/>
    <w:rsid w:val="09191730"/>
    <w:rsid w:val="0A367998"/>
    <w:rsid w:val="10DA6BA3"/>
    <w:rsid w:val="1FCE6128"/>
    <w:rsid w:val="204F1C0B"/>
    <w:rsid w:val="49B32E36"/>
    <w:rsid w:val="50042E21"/>
    <w:rsid w:val="50D35B41"/>
    <w:rsid w:val="5D1E7F8F"/>
    <w:rsid w:val="5E3C6444"/>
    <w:rsid w:val="6EFE2F9D"/>
    <w:rsid w:val="722E302C"/>
    <w:rsid w:val="74AF6BB6"/>
    <w:rsid w:val="78A94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unhideWhenUsed/>
    <w:qFormat/>
    <w:uiPriority w:val="9"/>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ind w:right="210" w:rightChars="100"/>
      <w:jc w:val="righ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rPr>
      <w:rFonts w:ascii="Times New Roman" w:hAnsi="Times New Roman" w:eastAsia="宋体"/>
      <w:sz w:val="18"/>
    </w:rPr>
  </w:style>
  <w:style w:type="paragraph" w:styleId="10">
    <w:name w:val="List Paragraph"/>
    <w:basedOn w:val="1"/>
    <w:qFormat/>
    <w:uiPriority w:val="34"/>
    <w:pPr>
      <w:ind w:firstLine="420" w:firstLineChars="200"/>
    </w:pPr>
  </w:style>
  <w:style w:type="paragraph" w:customStyle="1" w:styleId="11">
    <w:name w:val="前言、引言标题"/>
    <w:next w:val="1"/>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4">
    <w:name w:val="标准书眉_偶数页"/>
    <w:basedOn w:val="13"/>
    <w:next w:val="1"/>
    <w:qFormat/>
    <w:uiPriority w:val="0"/>
    <w:pPr>
      <w:jc w:val="left"/>
    </w:pPr>
  </w:style>
  <w:style w:type="paragraph" w:customStyle="1" w:styleId="15">
    <w:name w:val="标准书眉一"/>
    <w:qFormat/>
    <w:uiPriority w:val="0"/>
    <w:pPr>
      <w:jc w:val="both"/>
    </w:pPr>
    <w:rPr>
      <w:rFonts w:ascii="Times New Roman" w:hAnsi="Times New Roman" w:eastAsia="宋体" w:cs="Times New Roman"/>
      <w:lang w:val="en-US" w:eastAsia="zh-CN" w:bidi="ar-SA"/>
    </w:rPr>
  </w:style>
  <w:style w:type="paragraph" w:customStyle="1" w:styleId="16">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7">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8">
    <w:name w:val="章标题"/>
    <w:next w:val="12"/>
    <w:qFormat/>
    <w:uiPriority w:val="0"/>
    <w:pPr>
      <w:numPr>
        <w:ilvl w:val="1"/>
        <w:numId w:val="1"/>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9">
    <w:name w:val="一级条标题"/>
    <w:basedOn w:val="18"/>
    <w:next w:val="12"/>
    <w:qFormat/>
    <w:uiPriority w:val="0"/>
    <w:pPr>
      <w:numPr>
        <w:ilvl w:val="2"/>
        <w:numId w:val="1"/>
      </w:numPr>
      <w:spacing w:before="0" w:beforeLines="0" w:after="0" w:afterLines="0"/>
      <w:outlineLvl w:val="2"/>
    </w:pPr>
  </w:style>
  <w:style w:type="paragraph" w:customStyle="1" w:styleId="20">
    <w:name w:val="封面正文"/>
    <w:qFormat/>
    <w:uiPriority w:val="0"/>
    <w:pPr>
      <w:jc w:val="both"/>
    </w:pPr>
    <w:rPr>
      <w:rFonts w:ascii="Times New Roman" w:hAnsi="Times New Roman" w:eastAsia="宋体" w:cs="Times New Roman"/>
      <w:lang w:val="en-US" w:eastAsia="zh-CN" w:bidi="ar-SA"/>
    </w:rPr>
  </w:style>
  <w:style w:type="paragraph" w:customStyle="1" w:styleId="2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2">
    <w:name w:val="附录标识"/>
    <w:basedOn w:val="11"/>
    <w:qFormat/>
    <w:uiPriority w:val="0"/>
    <w:pPr>
      <w:numPr>
        <w:ilvl w:val="0"/>
        <w:numId w:val="2"/>
      </w:numPr>
      <w:tabs>
        <w:tab w:val="left" w:pos="6405"/>
      </w:tabs>
      <w:spacing w:after="200"/>
    </w:pPr>
    <w:rPr>
      <w:sz w:val="21"/>
    </w:rPr>
  </w:style>
  <w:style w:type="paragraph" w:customStyle="1" w:styleId="23">
    <w:name w:val="附录章标题"/>
    <w:next w:val="12"/>
    <w:qFormat/>
    <w:uiPriority w:val="0"/>
    <w:pPr>
      <w:numPr>
        <w:ilvl w:val="1"/>
        <w:numId w:val="2"/>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4">
    <w:name w:val="附录一级条标题"/>
    <w:basedOn w:val="23"/>
    <w:next w:val="12"/>
    <w:qFormat/>
    <w:uiPriority w:val="0"/>
    <w:pPr>
      <w:numPr>
        <w:ilvl w:val="2"/>
        <w:numId w:val="2"/>
      </w:numPr>
      <w:autoSpaceDN w:val="0"/>
      <w:spacing w:before="0" w:beforeLines="0" w:after="0" w:afterLines="0"/>
      <w:outlineLvl w:val="2"/>
    </w:pPr>
  </w:style>
  <w:style w:type="paragraph" w:customStyle="1" w:styleId="25">
    <w:name w:val="字母编号列项（一级）"/>
    <w:qFormat/>
    <w:uiPriority w:val="0"/>
    <w:pPr>
      <w:numPr>
        <w:ilvl w:val="1"/>
        <w:numId w:val="3"/>
      </w:numPr>
      <w:jc w:val="both"/>
    </w:pPr>
    <w:rPr>
      <w:rFonts w:ascii="宋体" w:hAnsi="Times New Roman" w:eastAsia="宋体" w:cs="Times New Roman"/>
      <w:sz w:val="21"/>
      <w:lang w:val="en-US" w:eastAsia="zh-CN" w:bidi="ar-SA"/>
    </w:rPr>
  </w:style>
  <w:style w:type="paragraph" w:customStyle="1" w:styleId="26">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7">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8">
    <w:name w:val="标准文件_文件编号"/>
    <w:basedOn w:val="29"/>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9">
    <w:name w:val="标准文件_段"/>
    <w:qFormat/>
    <w:uiPriority w:val="0"/>
    <w:pPr>
      <w:autoSpaceDE w:val="0"/>
      <w:autoSpaceDN w:val="0"/>
      <w:ind w:firstLine="200" w:firstLineChars="200"/>
      <w:jc w:val="both"/>
    </w:pPr>
    <w:rPr>
      <w:rFonts w:ascii="宋体" w:hAnsi="Times New Roman" w:eastAsia="宋体" w:cs="Times New Roman"/>
      <w:sz w:val="21"/>
      <w:lang w:bidi="ar-SA"/>
    </w:rPr>
  </w:style>
  <w:style w:type="paragraph" w:customStyle="1" w:styleId="3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31">
    <w:name w:val="其他发布日期"/>
    <w:basedOn w:val="32"/>
    <w:qFormat/>
    <w:uiPriority w:val="0"/>
    <w:pPr>
      <w:framePr w:w="3997" w:h="471" w:hRule="exact" w:hSpace="0" w:vSpace="181" w:vAnchor="page" w:hAnchor="page" w:x="1419" w:y="14097"/>
    </w:pPr>
  </w:style>
  <w:style w:type="paragraph" w:customStyle="1" w:styleId="3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33">
    <w:name w:val="其他实施日期"/>
    <w:basedOn w:val="34"/>
    <w:qFormat/>
    <w:uiPriority w:val="0"/>
    <w:pPr>
      <w:framePr w:w="3997" w:h="471" w:hRule="exact" w:vSpace="181" w:vAnchor="page" w:hAnchor="page" w:x="7089" w:y="14097"/>
    </w:pPr>
  </w:style>
  <w:style w:type="paragraph" w:customStyle="1" w:styleId="34">
    <w:name w:val="实施日期"/>
    <w:basedOn w:val="32"/>
    <w:qFormat/>
    <w:uiPriority w:val="0"/>
    <w:pPr>
      <w:framePr w:wrap="around" w:xAlign="right"/>
      <w:widowControl/>
      <w:numPr>
        <w:ilvl w:val="4"/>
        <w:numId w:val="1"/>
      </w:numPr>
      <w:jc w:val="right"/>
    </w:pPr>
    <w:rPr>
      <w:rFonts w:eastAsia="黑体"/>
      <w:kern w:val="0"/>
      <w:sz w:val="28"/>
      <w:szCs w:val="20"/>
    </w:rPr>
  </w:style>
  <w:style w:type="paragraph" w:customStyle="1" w:styleId="35">
    <w:name w:val="其他发布部门"/>
    <w:basedOn w:val="36"/>
    <w:qFormat/>
    <w:uiPriority w:val="0"/>
    <w:pPr>
      <w:framePr w:wrap="around"/>
      <w:widowControl/>
      <w:spacing w:line="0" w:lineRule="atLeast"/>
      <w:jc w:val="center"/>
    </w:pPr>
    <w:rPr>
      <w:rFonts w:ascii="黑体" w:eastAsia="黑体"/>
      <w:spacing w:val="20"/>
      <w:w w:val="135"/>
      <w:kern w:val="0"/>
      <w:sz w:val="36"/>
      <w:szCs w:val="20"/>
    </w:rPr>
  </w:style>
  <w:style w:type="paragraph" w:customStyle="1" w:styleId="36">
    <w:name w:val="发布部门"/>
    <w:next w:val="12"/>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tif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4173</Words>
  <Characters>4888</Characters>
  <Lines>0</Lines>
  <Paragraphs>0</Paragraphs>
  <TotalTime>0</TotalTime>
  <ScaleCrop>false</ScaleCrop>
  <LinksUpToDate>false</LinksUpToDate>
  <CharactersWithSpaces>5032</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2022-05-26T13:44:00Z</dcterms:created>
  <dc:creator>Administrator</dc:creator>
  <cp:lastModifiedBy>Administrator</cp:lastModifiedBy>
  <cp:lastPrinted>2022-08-29T05:08:00Z</cp:lastPrinted>
  <dcterms:modified xsi:type="dcterms:W3CDTF">2023-04-27T11:31:49Z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8C69C5AD6B65451685F4AE12DF9597CE</vt:lpwstr>
  </property>
</Properties>
</file>