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text" w:horzAnchor="page" w:tblpX="4315" w:tblpY="35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  <w:noWrap w:val="0"/>
            <w:vAlign w:val="top"/>
          </w:tcPr>
          <w:p>
            <w:pPr>
              <w:pStyle w:val="29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r>
              <w:drawing>
                <wp:inline distT="0" distB="0" distL="114300" distR="114300">
                  <wp:extent cx="796290" cy="397510"/>
                  <wp:effectExtent l="0" t="0" r="3810" b="2540"/>
                  <wp:docPr id="1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r>
              <w:t>6540</w:t>
            </w:r>
          </w:p>
        </w:tc>
      </w:tr>
    </w:tbl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1050" w:firstLine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240" w:lineRule="auto"/>
        <w:ind w:firstLine="1050" w:firstLineChars="500"/>
        <w:textAlignment w:val="auto"/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240" w:lineRule="auto"/>
        <w:ind w:firstLine="1050" w:firstLineChars="500"/>
        <w:textAlignment w:val="auto"/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240" w:lineRule="auto"/>
        <w:ind w:firstLine="840" w:firstLineChars="400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-194945</wp:posOffset>
                </wp:positionH>
                <wp:positionV relativeFrom="paragraph">
                  <wp:posOffset>1532890</wp:posOffset>
                </wp:positionV>
                <wp:extent cx="6035675" cy="19685"/>
                <wp:effectExtent l="0" t="6350" r="3175" b="1206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5675" cy="1968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80000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5.35pt;margin-top:120.7pt;height:1.55pt;width:475.25pt;z-index:251664384;mso-width-relative:page;mso-height-relative:page;" filled="f" stroked="t" coordsize="21600,21600" o:gfxdata="UEsDBAoAAAAAAIdO4kAAAAAAAAAAAAAAAAAEAAAAZHJzL1BLAwQUAAAACACHTuJAPikBa9kAAAAL&#10;AQAADwAAAGRycy9kb3ducmV2LnhtbE2PwU7DMAyG70i8Q2QkLmhLOjqgpekkJiFxZZs0ccsar61o&#10;nKrJ2u3t8U7saPvT7+8vVmfXiRGH0HrSkMwVCKTK25ZqDbvt5+wNRIiGrOk8oYYLBliV93eFya2f&#10;6BvHTawFh1DIjYYmxj6XMlQNOhPmvkfi29EPzkQeh1rawUwc7jq5UOpFOtMSf2hMj+sGq9/NyWmY&#10;9l+y+smelFuOuyiPKv1Qzmv9+JCodxARz/Efhqs+q0PJTgd/IhtEp2H2rF4Z1bBIkxQEE1mScZnD&#10;dZMuQZaFvO1Q/gFQSwMEFAAAAAgAh07iQAs0UiH8AQAA6wMAAA4AAABkcnMvZTJvRG9jLnhtbK1T&#10;TY7TMBTeI3EHy3uatNBOiZrOYsqwQVAJOMCr7SSW/CfbbdpLcAEkdrBiyZ7bMByDZyd0YNh0QRbO&#10;s9/nz+/7/Ly6PmpFDsIHaU1Np5OSEmGY5dK0NX3/7vbJkpIQwXBQ1oiankSg1+vHj1a9q8TMdlZx&#10;4QmSmFD1rqZdjK4qisA6oSFMrBMGk431GiJOfVtwDz2ya1XMynJR9NZz5y0TIeDqZkjSkdFfQmib&#10;RjKxsWyvhYkDqxcKIkoKnXSBrnO1TSNYfNM0QUSiaopKYx7xEIx3aSzWK6haD66TbCwBLinhgSYN&#10;0uChZ6oNRCB7L/+h0pJ5G2wTJ8zqYhCSHUEV0/KBN287cCJrQauDO5se/h8te33YeiI5dsIzSgxo&#10;vPG7j99+fPj88/snHO++fiGYQZt6FypE35itH2fBbX3SfGy8Tn9UQ47Z2tPZWnGMhOHionw6X1zN&#10;KWGYmz5fLOeJs7jf7HyIL4XVJAU1VdIk5VDB4VWIA/Q3JC0rQ3okml2VeJMMsA8bvH8MtUMtwbR5&#10;c7BK8lupVNoSfLu7UZ4cAHthWeK3HGv4C5ZO2UDoBlxOJRhUnQD+wnASTw5NMvg4aKpBC06JEviW&#10;UpSREaS6BInylUEXkrWDmSnaWX7CO9k7L9sOrZjmKlMGeyB7NvZrarI/55np/o2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+KQFr2QAAAAsBAAAPAAAAAAAAAAEAIAAAACIAAABkcnMvZG93bnJl&#10;di54bWxQSwECFAAUAAAACACHTuJACzRSIfwBAADrAwAADgAAAAAAAAABACAAAAAoAQAAZHJzL2Uy&#10;b0RvYy54bWxQSwUGAAAAAAYABgBZAQAAlgUAAAAA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240" w:lineRule="auto"/>
        <w:ind w:firstLine="1440" w:firstLineChars="400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240" w:lineRule="auto"/>
        <w:ind w:firstLine="1120" w:firstLineChars="400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宋体" w:hAnsi="宋体" w:eastAsia="宋体"/>
          <w:sz w:val="28"/>
          <w:szCs w:val="28"/>
          <w:u w:val="none"/>
          <w:lang w:eastAsia="zh-CN"/>
        </w:rPr>
        <w:pict>
          <v:shape id="_x0000_s2050" o:spid="_x0000_s2050" o:spt="136" type="#_x0000_t136" style="position:absolute;left:0pt;margin-left:-17.45pt;margin-top:22.45pt;height:20.05pt;width:469.05pt;mso-wrap-distance-bottom:0pt;mso-wrap-distance-left:9pt;mso-wrap-distance-right:9pt;mso-wrap-distance-top:0pt;z-index:251659264;mso-width-relative:page;mso-height-relative:page;" fillcolor="#000000" filled="t" stroked="t" coordsize="21600,21600" adj="10800">
            <v:path/>
            <v:fill on="t" color2="#FFFFFF" focussize="0,0"/>
            <v:stroke weight="0.25pt" color="#000000"/>
            <v:imagedata o:title=""/>
            <o:lock v:ext="edit" aspectratio="f"/>
            <v:textpath on="t" fitshape="t" fitpath="t" trim="t" xscale="f" string="伊犁哈萨克自治州地方标准" style="font-family:宋体;font-size:36pt;v-text-align:center;"/>
            <v:shadow on="t" obscured="f" color="#9999FF" opacity="65536f" offset="0.000236220472440945pt,0pt" offset2="-2pt,-2pt" origin="0f,0f" matrix="65536f,0f,0f,65536f,0,0"/>
            <w10:wrap type="square"/>
          </v:shape>
        </w:pict>
      </w:r>
    </w:p>
    <w:p>
      <w:pPr>
        <w:pStyle w:val="15"/>
        <w:jc w:val="center"/>
        <w:rPr>
          <w:rFonts w:hint="default" w:hAnsi="黑体"/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          </w:t>
      </w:r>
      <w:r>
        <w:rPr>
          <w:color w:val="000000"/>
          <w:lang w:val="fr-FR"/>
        </w:rPr>
        <w:t>DB</w:t>
      </w:r>
      <w:r>
        <w:rPr>
          <w:rFonts w:hint="eastAsia"/>
          <w:color w:val="000000"/>
          <w:lang w:val="en-US" w:eastAsia="zh-CN"/>
        </w:rPr>
        <w:t>6540/T</w:t>
      </w:r>
      <w:r>
        <w:rPr>
          <w:color w:val="000000"/>
          <w:sz w:val="15"/>
          <w:szCs w:val="15"/>
          <w:lang w:val="fr-FR"/>
        </w:rPr>
        <w:t xml:space="preserve"> </w:t>
      </w:r>
      <w:r>
        <w:rPr>
          <w:rFonts w:hint="default"/>
          <w:color w:val="000000"/>
          <w:sz w:val="15"/>
          <w:szCs w:val="15"/>
        </w:rPr>
        <w:t>XXX</w:t>
      </w:r>
      <w:r>
        <w:rPr>
          <w:color w:val="000000"/>
        </w:rPr>
        <w:t>-</w:t>
      </w:r>
      <w:r>
        <w:rPr>
          <w:rFonts w:hint="eastAsia" w:hAnsi="黑体"/>
          <w:color w:val="000000"/>
          <w:lang w:val="en-US" w:eastAsia="zh-CN"/>
        </w:rPr>
        <w:t>2023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240" w:lineRule="auto"/>
        <w:ind w:firstLine="1050" w:firstLineChars="500"/>
        <w:textAlignment w:val="auto"/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240" w:lineRule="auto"/>
        <w:ind w:firstLine="1050" w:firstLineChars="500"/>
        <w:textAlignment w:val="auto"/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bidi w:val="0"/>
        <w:adjustRightInd/>
        <w:spacing w:line="560" w:lineRule="exact"/>
        <w:ind w:firstLine="1440" w:firstLineChars="400"/>
        <w:rPr>
          <w:rFonts w:hint="eastAsia" w:ascii="黑体" w:hAnsi="黑体" w:eastAsia="黑体" w:cs="黑体"/>
          <w:sz w:val="36"/>
          <w:szCs w:val="36"/>
        </w:rPr>
      </w:pPr>
      <w:bookmarkStart w:id="7" w:name="_GoBack"/>
      <w:bookmarkEnd w:id="7"/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bidi w:val="0"/>
        <w:adjustRightInd/>
        <w:spacing w:line="560" w:lineRule="exact"/>
        <w:ind w:firstLine="1440" w:firstLineChars="400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bidi w:val="0"/>
        <w:adjustRightInd/>
        <w:spacing w:line="560" w:lineRule="exact"/>
        <w:ind w:firstLine="1440" w:firstLineChars="400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红花病虫害绿色防控技术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规程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ottom"/>
        <w:rPr>
          <w:rFonts w:hint="default" w:eastAsia="黑体"/>
          <w:szCs w:val="28"/>
        </w:rPr>
      </w:pPr>
      <w:r>
        <w:rPr>
          <w:rFonts w:hint="default" w:eastAsia="黑体"/>
          <w:szCs w:val="28"/>
        </w:rPr>
        <w:t>(征求意见稿)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default" w:ascii="宋体" w:hAnsi="宋体" w:eastAsia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rPr>
          <w:rFonts w:hint="eastAsia" w:ascii="宋体" w:hAnsi="宋体"/>
          <w:sz w:val="28"/>
          <w:szCs w:val="28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20"/>
        <w:framePr w:y="14176"/>
        <w:rPr>
          <w:color w:val="000000"/>
        </w:rPr>
      </w:pPr>
      <w:r>
        <w:rPr>
          <w:rFonts w:hint="eastAsia" w:ascii="黑体"/>
          <w:color w:val="000000"/>
        </w:rPr>
        <w:t>202</w:t>
      </w:r>
      <w:r>
        <w:rPr>
          <w:rFonts w:hint="eastAsia" w:ascii="黑体"/>
          <w:color w:val="000000"/>
          <w:lang w:val="en-US" w:eastAsia="zh-CN"/>
        </w:rPr>
        <w:t>3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hint="eastAsia"/>
          <w:color w:val="000000"/>
        </w:rPr>
        <w:t>发布</w:t>
      </w:r>
    </w:p>
    <w:p>
      <w:pPr>
        <w:pStyle w:val="22"/>
        <w:framePr w:y="14176"/>
        <w:rPr>
          <w:color w:val="FF0000"/>
        </w:rPr>
      </w:pPr>
      <w:r>
        <w:rPr>
          <w:rFonts w:hint="eastAsia" w:ascii="黑体"/>
          <w:color w:val="000000"/>
        </w:rPr>
        <w:t>202</w:t>
      </w:r>
      <w:r>
        <w:rPr>
          <w:rFonts w:hint="eastAsia" w:ascii="黑体"/>
          <w:color w:val="000000"/>
          <w:lang w:val="en-US" w:eastAsia="zh-CN"/>
        </w:rPr>
        <w:t>3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hint="eastAsia"/>
          <w:color w:val="000000"/>
        </w:rPr>
        <w:t>实施</w:t>
      </w:r>
    </w:p>
    <w:p>
      <w:pPr>
        <w:pStyle w:val="24"/>
        <w:framePr w:w="8070" w:h="405" w:hRule="exact" w:vAnchor="page" w:hAnchor="page" w:x="2115" w:y="14964"/>
        <w:tabs>
          <w:tab w:val="left" w:pos="6582"/>
        </w:tabs>
        <w:jc w:val="both"/>
        <w:rPr>
          <w:sz w:val="28"/>
          <w:szCs w:val="28"/>
        </w:rPr>
      </w:pPr>
      <w:r>
        <w:rPr>
          <w:sz w:val="28"/>
          <w:szCs w:val="28"/>
          <w:u w:val="none"/>
        </w:rPr>
        <w:pict>
          <v:shape id="_x0000_s2059" o:spid="_x0000_s2059" o:spt="136" type="#_x0000_t136" style="position:absolute;left:0pt;margin-left:10.35pt;margin-top:-0.05pt;height:18.05pt;width:308.2pt;z-index:251667456;mso-width-relative:page;mso-height-relative:page;" fillcolor="#000000" filled="t" stroked="t" coordsize="21600,21600" adj="10800">
            <v:path/>
            <v:fill on="t" color2="#FFFFFF" focussize="0,0"/>
            <v:stroke weight="0.25pt"/>
            <v:imagedata o:title=""/>
            <o:lock v:ext="edit" aspectratio="f"/>
            <v:textpath on="t" fitshape="t" fitpath="t" trim="t" xscale="f" string="伊犁哈萨克自治州市场监督管理局 " style="font-family:宋体;font-size:36pt;v-text-align:center;"/>
            <v:shadow on="t" obscured="f" color="#B2B2B2" opacity="52428f" offset="0.000236220472440945pt,0pt" offset2="-2pt,-2pt"/>
          </v:shape>
        </w:pict>
      </w:r>
      <w:r>
        <w:rPr>
          <w:rFonts w:hint="eastAsia"/>
          <w:sz w:val="28"/>
          <w:szCs w:val="28"/>
          <w:u w:val="none"/>
          <w:lang w:eastAsia="zh-CN"/>
        </w:rPr>
        <w:tab/>
      </w:r>
      <w:r>
        <w:rPr>
          <w:rFonts w:hint="eastAsia"/>
          <w:sz w:val="28"/>
          <w:szCs w:val="28"/>
          <w:u w:val="none"/>
          <w:lang w:val="en-US" w:eastAsia="zh-CN"/>
        </w:rPr>
        <w:t>发布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-338" w:right="1134" w:bottom="1021" w:left="1134" w:header="0" w:footer="0" w:gutter="284"/>
          <w:pgNumType w:fmt="upperRoman" w:start="1"/>
          <w:cols w:space="720" w:num="1"/>
          <w:titlePg/>
          <w:docGrid w:linePitch="312" w:charSpace="0"/>
        </w:sect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540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6Behg9QEAAOYDAAAOAAAAZHJzL2Uyb0RvYy54bWytU72O&#10;EzEQ7pF4B8s92SToDlhlc8WFo0EQCXiAie3dteQ/eZxs8hK8ABIdVJT0vA3HYzD25nJwNCnYwjv2&#10;jL+Z75vx4mpvDdupiNq7hs8mU86UE15q1zX8w/ubJ885wwROgvFONfygkF8tHz9aDKFWc997I1Vk&#10;BOKwHkLD+5RCXVUoemUBJz4oR87WRwuJtrGrZISB0K2p5tPpZTX4KEP0QiHS6Wp08iNiPAfQt60W&#10;auXF1iqXRtSoDCSihL0OyJel2rZVIr1tW1SJmYYT01RWSkL2Jq/VcgF1FyH0WhxLgHNKeMDJgnaU&#10;9AS1ggRsG/U/UFaL6NG3aSK8rUYiRRFiMZs+0OZdD0EVLiQ1hpPo+P9gxZvdOjItaRKecebAUsdv&#10;P33/+fHLrx+fab399pWRh2QaAtYUfe3W8bjDsI6Z876NNv+JDdsXaQ8nadU+MUGHlzPi95RUF3e+&#10;6v5iiJheKW9ZNhputMusoYbda0yUjELvQvKxcWxo+IuL+QXBAY1gS60n0waiga4rd9EbLW+0MfkG&#10;xm5zbSLbQR6D8mVKhPtXWE6yAuzHuOIaB6RXIF86ydIhkD6O3gXPJVglOTOKnlG2CBDqBNqcE0mp&#10;jaMKsqqjjtnaeHmgdmxD1F1PSsxKldlD7S/1Hkc1z9ef+4J0/zy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Mxz71wAAAA4BAAAPAAAAAAAAAAEAIAAAACIAAABkcnMvZG93bnJldi54bWxQSwEC&#10;FAAUAAAACACHTuJAegXoYPUBAADmAwAADgAAAAAAAAABACAAAAAm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20"/>
        <w:framePr w:wrap="around" w:x="1373" w:y="13512"/>
        <w:rPr>
          <w:rFonts w:hint="default" w:ascii="黑体" w:hAnsi="Times New Roman" w:cs="Times New Roman"/>
          <w:color w:val="000000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 w:ascii="黑体" w:hAnsi="Times New Roman" w:cs="Times New Roman"/>
          <w:color w:val="000000"/>
          <w:lang w:val="en-US" w:eastAsia="zh-CN"/>
        </w:rPr>
        <w:t xml:space="preserve">  2022-xx-x实施                                                          </w:t>
      </w:r>
    </w:p>
    <w:p>
      <w:pPr>
        <w:pStyle w:val="20"/>
        <w:framePr w:wrap="around" w:x="1373" w:y="13512"/>
        <w:rPr>
          <w:rFonts w:hint="eastAsia" w:ascii="黑体" w:hAnsi="Times New Roman" w:cs="Times New Roman"/>
          <w:color w:val="000000"/>
          <w:lang w:val="en-US" w:eastAsia="zh-CN"/>
        </w:rPr>
      </w:pPr>
    </w:p>
    <w:p>
      <w:pPr>
        <w:pStyle w:val="20"/>
        <w:framePr w:wrap="around" w:x="1373" w:y="13512"/>
        <w:rPr>
          <w:color w:val="000000"/>
        </w:rPr>
      </w:pPr>
      <w:r>
        <w:rPr>
          <w:rFonts w:hint="eastAsia" w:ascii="黑体"/>
          <w:color w:val="000000"/>
        </w:rPr>
        <w:t>2022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hint="eastAsia"/>
          <w:color w:val="000000"/>
        </w:rPr>
        <w:t>发布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</w:t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1543"/>
        </w:tabs>
        <w:bidi w:val="0"/>
        <w:ind w:firstLine="3520" w:firstLineChars="1100"/>
        <w:jc w:val="left"/>
        <w:rPr>
          <w:rFonts w:eastAsia="黑体"/>
          <w:b w:val="0"/>
          <w:sz w:val="32"/>
          <w:szCs w:val="32"/>
        </w:rPr>
      </w:pPr>
      <w:r>
        <w:rPr>
          <w:rFonts w:hAnsi="黑体" w:eastAsia="黑体"/>
          <w:b w:val="0"/>
          <w:sz w:val="32"/>
          <w:szCs w:val="32"/>
        </w:rPr>
        <w:t>前</w:t>
      </w:r>
      <w:r>
        <w:rPr>
          <w:rFonts w:eastAsia="黑体"/>
          <w:b w:val="0"/>
          <w:sz w:val="32"/>
          <w:szCs w:val="32"/>
        </w:rPr>
        <w:t>  </w:t>
      </w:r>
      <w:r>
        <w:rPr>
          <w:rFonts w:hAnsi="黑体" w:eastAsia="黑体"/>
          <w:b w:val="0"/>
          <w:sz w:val="32"/>
          <w:szCs w:val="32"/>
        </w:rPr>
        <w:t>言</w:t>
      </w:r>
    </w:p>
    <w:p>
      <w:pPr>
        <w:pStyle w:val="26"/>
        <w:keepNext w:val="0"/>
        <w:keepLines w:val="0"/>
        <w:pageBreakBefore w:val="0"/>
        <w:tabs>
          <w:tab w:val="center" w:pos="4201"/>
          <w:tab w:val="right" w:leader="dot" w:pos="9298"/>
        </w:tabs>
        <w:topLinePunct w:val="0"/>
        <w:bidi w:val="0"/>
        <w:adjustRightInd/>
        <w:spacing w:line="560" w:lineRule="exact"/>
        <w:rPr>
          <w:rFonts w:hint="eastAsia"/>
        </w:rPr>
      </w:pPr>
    </w:p>
    <w:p>
      <w:pPr>
        <w:pStyle w:val="26"/>
        <w:keepNext w:val="0"/>
        <w:keepLines w:val="0"/>
        <w:pageBreakBefore w:val="0"/>
        <w:tabs>
          <w:tab w:val="center" w:pos="4201"/>
          <w:tab w:val="right" w:leader="dot" w:pos="9298"/>
        </w:tabs>
        <w:topLinePunct w:val="0"/>
        <w:bidi w:val="0"/>
        <w:adjustRightInd/>
        <w:spacing w:line="560" w:lineRule="exact"/>
        <w:ind w:firstLine="420"/>
        <w:rPr>
          <w:rFonts w:hint="eastAsia"/>
        </w:rPr>
      </w:pPr>
    </w:p>
    <w:p>
      <w:pPr>
        <w:pStyle w:val="8"/>
        <w:keepNext w:val="0"/>
        <w:keepLines w:val="0"/>
        <w:pageBreakBefore w:val="0"/>
        <w:topLinePunct w:val="0"/>
        <w:bidi w:val="0"/>
        <w:adjustRightInd/>
        <w:snapToGrid w:val="0"/>
        <w:spacing w:before="0" w:beforeAutospacing="0" w:after="0" w:afterAutospacing="0" w:line="560" w:lineRule="exact"/>
        <w:ind w:left="-63" w:leftChars="-30" w:firstLine="480" w:firstLineChars="200"/>
        <w:rPr>
          <w:rFonts w:hint="eastAsia"/>
        </w:rPr>
      </w:pPr>
      <w:r>
        <w:rPr>
          <w:rFonts w:hint="eastAsia"/>
        </w:rPr>
        <w:t>本标准依据GB/T1.1-20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0《标准化工作导则第1部分：标准的结构和编写规则》要求编写。</w:t>
      </w:r>
    </w:p>
    <w:p>
      <w:pPr>
        <w:pStyle w:val="8"/>
        <w:keepNext w:val="0"/>
        <w:keepLines w:val="0"/>
        <w:pageBreakBefore w:val="0"/>
        <w:topLinePunct w:val="0"/>
        <w:bidi w:val="0"/>
        <w:adjustRightInd/>
        <w:snapToGrid w:val="0"/>
        <w:spacing w:before="0" w:beforeAutospacing="0" w:after="0" w:afterAutospacing="0" w:line="560" w:lineRule="exact"/>
        <w:ind w:left="-63" w:leftChars="-30" w:firstLine="480" w:firstLineChars="200"/>
        <w:rPr>
          <w:rFonts w:hint="eastAsia"/>
        </w:rPr>
      </w:pPr>
      <w:r>
        <w:rPr>
          <w:rFonts w:hint="eastAsia"/>
        </w:rPr>
        <w:t>本标准由伊犁州农业标准化委员会提出提出。</w:t>
      </w:r>
    </w:p>
    <w:p>
      <w:pPr>
        <w:pStyle w:val="8"/>
        <w:keepNext w:val="0"/>
        <w:keepLines w:val="0"/>
        <w:pageBreakBefore w:val="0"/>
        <w:topLinePunct w:val="0"/>
        <w:bidi w:val="0"/>
        <w:adjustRightInd/>
        <w:snapToGrid w:val="0"/>
        <w:spacing w:before="0" w:beforeAutospacing="0" w:after="0" w:afterAutospacing="0" w:line="560" w:lineRule="exact"/>
        <w:ind w:left="-63" w:leftChars="-30" w:firstLine="480" w:firstLineChars="200"/>
        <w:rPr>
          <w:rFonts w:hint="eastAsia"/>
        </w:rPr>
      </w:pPr>
      <w:r>
        <w:rPr>
          <w:rFonts w:hint="eastAsia"/>
        </w:rPr>
        <w:t>本标准由伊犁哈萨克自治州质量技术监督局批准。</w:t>
      </w:r>
    </w:p>
    <w:p>
      <w:pPr>
        <w:pStyle w:val="8"/>
        <w:keepNext w:val="0"/>
        <w:keepLines w:val="0"/>
        <w:pageBreakBefore w:val="0"/>
        <w:topLinePunct w:val="0"/>
        <w:bidi w:val="0"/>
        <w:adjustRightInd/>
        <w:snapToGrid w:val="0"/>
        <w:spacing w:before="0" w:beforeAutospacing="0" w:after="0" w:afterAutospacing="0" w:line="560" w:lineRule="exact"/>
        <w:ind w:left="-63" w:leftChars="-30" w:firstLine="480" w:firstLineChars="200"/>
        <w:rPr>
          <w:rFonts w:hint="eastAsia"/>
        </w:rPr>
      </w:pPr>
      <w:r>
        <w:rPr>
          <w:rFonts w:hint="eastAsia"/>
        </w:rPr>
        <w:t>本标准由伊犁哈萨克自治州农业局归口。</w:t>
      </w:r>
    </w:p>
    <w:p>
      <w:pPr>
        <w:pStyle w:val="8"/>
        <w:keepNext w:val="0"/>
        <w:keepLines w:val="0"/>
        <w:pageBreakBefore w:val="0"/>
        <w:topLinePunct w:val="0"/>
        <w:bidi w:val="0"/>
        <w:adjustRightInd/>
        <w:snapToGrid w:val="0"/>
        <w:spacing w:before="0" w:beforeAutospacing="0" w:after="0" w:afterAutospacing="0" w:line="560" w:lineRule="exact"/>
        <w:ind w:left="-63" w:leftChars="-30" w:firstLine="480" w:firstLineChars="200"/>
        <w:rPr>
          <w:rFonts w:hint="eastAsia"/>
        </w:rPr>
      </w:pPr>
      <w:r>
        <w:rPr>
          <w:rFonts w:hint="eastAsia"/>
        </w:rPr>
        <w:t>本标准由伊犁</w:t>
      </w:r>
      <w:r>
        <w:rPr>
          <w:rFonts w:hint="eastAsia"/>
          <w:lang w:val="en-US" w:eastAsia="zh-CN"/>
        </w:rPr>
        <w:t>州农业技术推广总站</w:t>
      </w:r>
      <w:r>
        <w:rPr>
          <w:rFonts w:hint="eastAsia"/>
        </w:rPr>
        <w:t>、</w:t>
      </w:r>
      <w:r>
        <w:rPr>
          <w:rFonts w:hint="eastAsia"/>
          <w:lang w:eastAsia="zh-CN"/>
        </w:rPr>
        <w:t>察布查尔县农业技术推广站</w:t>
      </w:r>
      <w:r>
        <w:rPr>
          <w:rFonts w:hint="eastAsia"/>
        </w:rPr>
        <w:t>起草。</w:t>
      </w:r>
    </w:p>
    <w:p>
      <w:pPr>
        <w:pStyle w:val="8"/>
        <w:keepNext w:val="0"/>
        <w:keepLines w:val="0"/>
        <w:pageBreakBefore w:val="0"/>
        <w:topLinePunct w:val="0"/>
        <w:bidi w:val="0"/>
        <w:adjustRightInd/>
        <w:snapToGrid w:val="0"/>
        <w:spacing w:before="0" w:beforeAutospacing="0" w:after="0" w:afterAutospacing="0" w:line="560" w:lineRule="exact"/>
        <w:ind w:left="-63" w:leftChars="-30" w:firstLine="480" w:firstLineChars="200"/>
        <w:rPr>
          <w:rFonts w:hint="eastAsia"/>
          <w:lang w:val="en-US" w:eastAsia="zh-CN"/>
        </w:rPr>
      </w:pPr>
      <w:r>
        <w:rPr>
          <w:rFonts w:hint="eastAsia"/>
        </w:rPr>
        <w:t>本标准起草人：</w:t>
      </w:r>
      <w:r>
        <w:rPr>
          <w:rFonts w:hint="eastAsia"/>
          <w:lang w:eastAsia="zh-CN"/>
        </w:rPr>
        <w:t>付文君、关丽菊、陈蓉</w:t>
      </w:r>
      <w:r>
        <w:rPr>
          <w:rFonts w:hint="eastAsia"/>
          <w:lang w:val="en-US" w:eastAsia="zh-CN"/>
        </w:rPr>
        <w:t>、</w:t>
      </w:r>
      <w:r>
        <w:rPr>
          <w:rFonts w:hint="eastAsia"/>
          <w:lang w:eastAsia="zh-CN"/>
        </w:rPr>
        <w:t>张冬梅、范荣霞、安荣荣、关志坚、刘小龙、迪丽孜拉、曹小妮、刘菲、李荣跃、沙吾列</w:t>
      </w:r>
      <w:r>
        <w:rPr>
          <w:rFonts w:hint="eastAsia"/>
          <w:lang w:val="en-US" w:eastAsia="zh-CN"/>
        </w:rPr>
        <w:t>·努尔多来提、</w:t>
      </w:r>
      <w:r>
        <w:rPr>
          <w:rFonts w:hint="eastAsia"/>
          <w:lang w:eastAsia="zh-CN"/>
        </w:rPr>
        <w:t>热哈提布</w:t>
      </w:r>
      <w:r>
        <w:rPr>
          <w:rFonts w:hint="eastAsia"/>
          <w:lang w:val="en-US" w:eastAsia="zh-CN"/>
        </w:rPr>
        <w:t>·沙塔尔、阿斯艳木</w:t>
      </w:r>
    </w:p>
    <w:p>
      <w:pPr>
        <w:pStyle w:val="8"/>
        <w:keepNext w:val="0"/>
        <w:keepLines w:val="0"/>
        <w:pageBreakBefore w:val="0"/>
        <w:topLinePunct w:val="0"/>
        <w:bidi w:val="0"/>
        <w:adjustRightInd/>
        <w:snapToGrid w:val="0"/>
        <w:spacing w:before="0" w:beforeAutospacing="0" w:after="0" w:afterAutospacing="0" w:line="560" w:lineRule="exact"/>
        <w:ind w:left="-63" w:leftChars="-30" w:firstLine="480" w:firstLineChars="200"/>
        <w:rPr>
          <w:rFonts w:hint="eastAsia"/>
        </w:rPr>
      </w:pPr>
      <w:r>
        <w:rPr>
          <w:rFonts w:hint="eastAsia"/>
        </w:rPr>
        <w:t>本标准由</w:t>
      </w:r>
      <w:r>
        <w:rPr>
          <w:rFonts w:hint="eastAsia"/>
          <w:lang w:eastAsia="zh-CN"/>
        </w:rPr>
        <w:t>伊犁州农业技术推广总站</w:t>
      </w:r>
      <w:r>
        <w:rPr>
          <w:rFonts w:hint="eastAsia"/>
        </w:rPr>
        <w:t>、</w:t>
      </w:r>
      <w:r>
        <w:rPr>
          <w:rFonts w:hint="eastAsia"/>
          <w:lang w:eastAsia="zh-CN"/>
        </w:rPr>
        <w:t>察布查尔县农业技术推广站</w:t>
      </w:r>
      <w:r>
        <w:rPr>
          <w:rFonts w:hint="eastAsia"/>
        </w:rPr>
        <w:t>负责解释。</w:t>
      </w:r>
    </w:p>
    <w:p>
      <w:pPr>
        <w:pStyle w:val="8"/>
        <w:keepNext w:val="0"/>
        <w:keepLines w:val="0"/>
        <w:pageBreakBefore w:val="0"/>
        <w:topLinePunct w:val="0"/>
        <w:bidi w:val="0"/>
        <w:adjustRightInd/>
        <w:snapToGrid w:val="0"/>
        <w:spacing w:before="0" w:beforeAutospacing="0" w:after="0" w:afterAutospacing="0" w:line="560" w:lineRule="exact"/>
        <w:ind w:left="-63" w:leftChars="-30" w:firstLine="480" w:firstLineChars="200"/>
        <w:rPr>
          <w:rFonts w:hint="eastAsia"/>
        </w:rPr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1050" w:firstLineChars="500"/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1050" w:firstLineChars="500"/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1050" w:firstLineChars="500"/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1050" w:firstLineChars="500"/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1050" w:firstLineChars="500"/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1050" w:firstLineChars="500"/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1050" w:firstLineChars="500"/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1050" w:firstLineChars="500"/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bidi w:val="0"/>
        <w:adjustRightInd/>
        <w:spacing w:line="560" w:lineRule="exact"/>
        <w:ind w:firstLine="1080" w:firstLineChars="300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bidi w:val="0"/>
        <w:adjustRightInd/>
        <w:spacing w:line="560" w:lineRule="exact"/>
        <w:ind w:firstLine="1080" w:firstLineChars="300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bidi w:val="0"/>
        <w:adjustRightInd/>
        <w:spacing w:line="560" w:lineRule="exact"/>
        <w:ind w:firstLine="1800" w:firstLineChars="500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红花病虫害绿色防控技术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规程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1050" w:firstLineChars="500"/>
      </w:pPr>
    </w:p>
    <w:p>
      <w:pPr>
        <w:pStyle w:val="27"/>
        <w:keepNext w:val="0"/>
        <w:keepLines w:val="0"/>
        <w:pageBreakBefore w:val="0"/>
        <w:numPr>
          <w:ilvl w:val="0"/>
          <w:numId w:val="0"/>
        </w:numPr>
        <w:topLinePunct w:val="0"/>
        <w:bidi w:val="0"/>
        <w:adjustRightInd/>
        <w:spacing w:beforeLines="0" w:afterLines="0" w:line="560" w:lineRule="exact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  范围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本标准规定了红花病虫害的术语与定义和综合防治的要求。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本标准适用于伊犁河谷种植红花区域红花病虫害的防治。</w:t>
      </w:r>
    </w:p>
    <w:p>
      <w:pPr>
        <w:pStyle w:val="27"/>
        <w:keepNext w:val="0"/>
        <w:keepLines w:val="0"/>
        <w:pageBreakBefore w:val="0"/>
        <w:numPr>
          <w:ilvl w:val="0"/>
          <w:numId w:val="0"/>
        </w:numPr>
        <w:topLinePunct w:val="0"/>
        <w:bidi w:val="0"/>
        <w:adjustRightInd/>
        <w:spacing w:beforeLines="0" w:afterLines="0" w:line="560" w:lineRule="exact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bookmarkStart w:id="0" w:name="_Toc385264817"/>
      <w:bookmarkStart w:id="1" w:name="_Toc261551310"/>
      <w:bookmarkStart w:id="2" w:name="_Toc261606126"/>
      <w:bookmarkStart w:id="3" w:name="_Toc261607107"/>
      <w:bookmarkStart w:id="4" w:name="_Toc261551265"/>
      <w:bookmarkStart w:id="5" w:name="_Toc261606148"/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2  规范性引用文件</w:t>
      </w:r>
      <w:bookmarkEnd w:id="0"/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下列文件中的条款通过本标准的引用而成为本标准的条款。凡是注明日期的引用文件，其随后所有的修改单（不包括勘误的内容）或修订版均不适用于本标准，凡是不注日期的引用文件，其最新版本适用于本标准。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GB/T8321.9-2009   农药合理使用准则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GB 4285-89 　　   农药安全使用标准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NY/T496 肥料合理使用准则。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GB15618 土壤环境质量标准。</w:t>
      </w:r>
    </w:p>
    <w:p>
      <w:pPr>
        <w:pStyle w:val="27"/>
        <w:keepNext w:val="0"/>
        <w:keepLines w:val="0"/>
        <w:pageBreakBefore w:val="0"/>
        <w:numPr>
          <w:ilvl w:val="0"/>
          <w:numId w:val="0"/>
        </w:numPr>
        <w:topLinePunct w:val="0"/>
        <w:bidi w:val="0"/>
        <w:adjustRightInd/>
        <w:spacing w:beforeLines="0" w:afterLines="0" w:line="560" w:lineRule="exact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bookmarkStart w:id="6" w:name="_Toc385264818"/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3  术语和定义</w:t>
      </w:r>
      <w:bookmarkEnd w:id="1"/>
      <w:bookmarkEnd w:id="2"/>
      <w:bookmarkEnd w:id="3"/>
      <w:bookmarkEnd w:id="4"/>
      <w:bookmarkEnd w:id="5"/>
      <w:bookmarkEnd w:id="6"/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下列术语和定义适用于本标准。</w:t>
      </w:r>
    </w:p>
    <w:p>
      <w:pPr>
        <w:pStyle w:val="27"/>
        <w:keepNext w:val="0"/>
        <w:keepLines w:val="0"/>
        <w:pageBreakBefore w:val="0"/>
        <w:numPr>
          <w:ilvl w:val="0"/>
          <w:numId w:val="0"/>
        </w:numPr>
        <w:topLinePunct w:val="0"/>
        <w:bidi w:val="0"/>
        <w:adjustRightInd/>
        <w:spacing w:beforeLines="0" w:afterLines="0" w:line="560" w:lineRule="exact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3.1 红花病虫害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红花主要病害包括红花锈病、红花褐斑病、红花根腐病。虫害包括地上害虫和地下害虫，地上害虫主要有红花象甲；地下害虫主要有地老虎和金针虫。</w:t>
      </w:r>
    </w:p>
    <w:p>
      <w:pPr>
        <w:pStyle w:val="27"/>
        <w:keepNext w:val="0"/>
        <w:keepLines w:val="0"/>
        <w:pageBreakBefore w:val="0"/>
        <w:numPr>
          <w:ilvl w:val="0"/>
          <w:numId w:val="0"/>
        </w:numPr>
        <w:topLinePunct w:val="0"/>
        <w:bidi w:val="0"/>
        <w:adjustRightInd/>
        <w:spacing w:beforeLines="0" w:afterLines="0" w:line="560" w:lineRule="exact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4 红花病虫害绿色防治技术</w:t>
      </w:r>
    </w:p>
    <w:p>
      <w:pPr>
        <w:pStyle w:val="27"/>
        <w:keepNext w:val="0"/>
        <w:keepLines w:val="0"/>
        <w:pageBreakBefore w:val="0"/>
        <w:numPr>
          <w:ilvl w:val="0"/>
          <w:numId w:val="0"/>
        </w:numPr>
        <w:topLinePunct w:val="0"/>
        <w:bidi w:val="0"/>
        <w:adjustRightInd/>
        <w:spacing w:beforeLines="0" w:afterLines="0" w:line="56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4.1农业防治技术。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因地制宜选育和种植抗病或早熟避病的品种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实行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秋耕冬灌，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与禾本科作物至少 3 年以上轮作。土壤环境符合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GB15618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要求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肥料符合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NY/T496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结合整地人工铲埂等，可杀灭虫卵、幼虫和蛹。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适期早播，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合理密植，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严格控制灌水量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，加强田间管理，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适当增施磷钾肥或草木灰，</w:t>
      </w:r>
      <w:r>
        <w:rPr>
          <w:rFonts w:hint="eastAsia" w:ascii="仿宋_GB2312" w:hAnsi="仿宋_GB2312" w:eastAsia="仿宋_GB2312" w:cs="仿宋_GB2312"/>
          <w:sz w:val="28"/>
          <w:szCs w:val="28"/>
        </w:rPr>
        <w:t>增强抗病力。收获后及时深翻30cm以上，将病残体翻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入</w:t>
      </w:r>
      <w:r>
        <w:rPr>
          <w:rFonts w:hint="eastAsia" w:ascii="仿宋_GB2312" w:hAnsi="仿宋_GB2312" w:eastAsia="仿宋_GB2312" w:cs="仿宋_GB2312"/>
          <w:sz w:val="28"/>
          <w:szCs w:val="28"/>
        </w:rPr>
        <w:t>土壤深层腐烂分解,减少侵染源。</w:t>
      </w:r>
    </w:p>
    <w:p>
      <w:pPr>
        <w:pStyle w:val="27"/>
        <w:keepNext w:val="0"/>
        <w:keepLines w:val="0"/>
        <w:pageBreakBefore w:val="0"/>
        <w:numPr>
          <w:ilvl w:val="0"/>
          <w:numId w:val="0"/>
        </w:numPr>
        <w:topLinePunct w:val="0"/>
        <w:bidi w:val="0"/>
        <w:adjustRightInd/>
        <w:spacing w:beforeLines="0" w:afterLines="0" w:line="56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4.2物理防治技术。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用糖醋液或黑光灯诱杀地老虎越冬代成虫，在春季成虫发生期设置诱蛾器(盆)诱杀成虫。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4.3化学防治技术。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-SA"/>
        </w:rPr>
        <w:t>符合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GB/T8321.9-2009和GB 4285-89要求。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4.3.1 主要病害防治技术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4.3.1.1红花锈病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28"/>
          <w:szCs w:val="28"/>
          <w:lang w:val="en-US" w:eastAsia="zh-CN" w:bidi="ar"/>
        </w:rPr>
        <w:t>4.3.1.1.1种子处理。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 w:bidi="ar"/>
        </w:rPr>
        <w:t>播种前用氟环咯苯甲种衣剂200ml/100kg种子拌种。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28"/>
          <w:szCs w:val="28"/>
          <w:lang w:val="en-US" w:eastAsia="zh-CN" w:bidi="ar"/>
        </w:rPr>
        <w:t>4.3.1.1.2喷药防治。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 w:bidi="ar"/>
        </w:rPr>
        <w:t>发病初期喷洒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28"/>
          <w:szCs w:val="28"/>
        </w:rPr>
        <w:t>用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28"/>
          <w:szCs w:val="28"/>
          <w:lang w:val="en-US" w:eastAsia="zh-CN"/>
        </w:rPr>
        <w:t>25%丙环唑乳油30ml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28"/>
          <w:szCs w:val="28"/>
          <w:lang w:val="en-US" w:eastAsia="zh-CN"/>
        </w:rPr>
        <w:t>-35ml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28"/>
          <w:szCs w:val="28"/>
        </w:rPr>
        <w:t>或12.5%烯唑醇40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 w:bidi="ar"/>
        </w:rPr>
        <w:t>ml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或用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19%啶氧·丙环唑悬浮剂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 w:bidi="ar"/>
        </w:rPr>
        <w:t>ml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喷雾。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4.3.1.2红花褐斑病防治。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发病初期选用</w:t>
      </w:r>
      <w:r>
        <w:rPr>
          <w:rFonts w:hint="eastAsia" w:ascii="仿宋_GB2312" w:hAnsi="仿宋_GB2312" w:eastAsia="仿宋_GB2312" w:cs="仿宋_GB2312"/>
          <w:sz w:val="28"/>
          <w:szCs w:val="28"/>
        </w:rPr>
        <w:t>40%的苯甲.丙环唑EC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1 000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</w:rPr>
        <w:t>2000倍液,或或 80%的代森锰锌 WP400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</w:rPr>
        <w:t>600倍液,或50%的福美双 WP500倍液。以上药剂任选一种均可,交替喷雾每隔 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d-</w:t>
      </w:r>
      <w:r>
        <w:rPr>
          <w:rFonts w:hint="eastAsia" w:ascii="仿宋_GB2312" w:hAnsi="仿宋_GB2312" w:eastAsia="仿宋_GB2312" w:cs="仿宋_GB2312"/>
          <w:sz w:val="28"/>
          <w:szCs w:val="28"/>
        </w:rPr>
        <w:t>10d 喷一次,共喷2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</w:rPr>
        <w:t>3次。在药液中适当加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入</w:t>
      </w:r>
      <w:r>
        <w:rPr>
          <w:rFonts w:hint="eastAsia" w:ascii="仿宋_GB2312" w:hAnsi="仿宋_GB2312" w:eastAsia="仿宋_GB2312" w:cs="仿宋_GB2312"/>
          <w:sz w:val="28"/>
          <w:szCs w:val="28"/>
        </w:rPr>
        <w:t>植物生长调节剂和叶面肥,可促进红花生长提高植株的抗病能力。可选用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生物激活剂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益施帮</w:t>
      </w:r>
      <w:r>
        <w:rPr>
          <w:rFonts w:hint="eastAsia" w:ascii="仿宋_GB2312" w:hAnsi="仿宋_GB2312" w:eastAsia="仿宋_GB2312" w:cs="仿宋_GB2312"/>
          <w:sz w:val="28"/>
          <w:szCs w:val="28"/>
        </w:rPr>
        <w:t>或芸苔素内酯,叶面肥磷酸二氢钾或氨基酸水溶肥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楷体_GB2312" w:hAnsi="楷体_GB2312" w:eastAsia="楷体_GB2312" w:cs="楷体_GB2312"/>
          <w:b/>
          <w:bCs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4.3.1.3红花根腐病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4.3.1.3.1种子处理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.可选用氟环咯苯甲种衣剂或咯菌腈种衣剂200ml/100kg种子拌种。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4.3.1.3.2药剂防治。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发病初期用50%甲基托布津1000倍稀释液或50%退菌特500倍稀释液加5%石灰和0.2%尿素浇灌病株根部、或用50%多菌灵1000倍液喷雾防治。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4.3.2 主要虫害防治技术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4.3.2.1</w:t>
      </w: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红花象甲药剂防治。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成虫每亩用氯虫苯甲酰胺（康宽）10ml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或高氯氟40ml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或22% 噻虫·高氯氟30ml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兑水喷施。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4.3.2.2地老虎和金针虫防治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4.3.2.2.1种子处理：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选</w:t>
      </w:r>
      <w:r>
        <w:rPr>
          <w:rFonts w:hint="eastAsia" w:ascii="仿宋_GB2312" w:hAnsi="仿宋_GB2312" w:eastAsia="仿宋_GB2312" w:cs="仿宋_GB2312"/>
          <w:sz w:val="28"/>
          <w:szCs w:val="28"/>
        </w:rPr>
        <w:t>用锐胜（70%噻虫嗪种子处理可分散粉剂）10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ml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sz w:val="28"/>
          <w:szCs w:val="28"/>
        </w:rPr>
        <w:t>-20m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sz w:val="28"/>
          <w:szCs w:val="28"/>
        </w:rPr>
        <w:t>或高巧（60%吡虫啉）悬浮种衣剂30m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sz w:val="28"/>
          <w:szCs w:val="28"/>
        </w:rPr>
        <w:t>,用水量50ml配成溶液后与红花种混合，轻轻翻拌2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min-</w:t>
      </w: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min</w:t>
      </w:r>
      <w:r>
        <w:rPr>
          <w:rFonts w:hint="eastAsia" w:ascii="仿宋_GB2312" w:hAnsi="仿宋_GB2312" w:eastAsia="仿宋_GB2312" w:cs="仿宋_GB2312"/>
          <w:sz w:val="28"/>
          <w:szCs w:val="28"/>
        </w:rPr>
        <w:t>，然后摊开置于通风阴凉处，晾干6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h-</w:t>
      </w:r>
      <w:r>
        <w:rPr>
          <w:rFonts w:hint="eastAsia" w:ascii="仿宋_GB2312" w:hAnsi="仿宋_GB2312" w:eastAsia="仿宋_GB2312" w:cs="仿宋_GB2312"/>
          <w:sz w:val="28"/>
          <w:szCs w:val="28"/>
        </w:rPr>
        <w:t>12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</w:t>
      </w:r>
      <w:r>
        <w:rPr>
          <w:rFonts w:hint="eastAsia" w:ascii="仿宋_GB2312" w:hAnsi="仿宋_GB2312" w:eastAsia="仿宋_GB2312" w:cs="仿宋_GB2312"/>
          <w:sz w:val="28"/>
          <w:szCs w:val="28"/>
        </w:rPr>
        <w:t>播种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4.3.2.2.2毒饵诱杀。</w:t>
      </w:r>
      <w:r>
        <w:rPr>
          <w:rFonts w:hint="eastAsia" w:ascii="仿宋_GB2312" w:hAnsi="仿宋_GB2312" w:eastAsia="仿宋_GB2312" w:cs="仿宋_GB2312"/>
          <w:sz w:val="28"/>
          <w:szCs w:val="28"/>
        </w:rPr>
        <w:t>苗期到蕾期危害，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每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667m²</w:t>
      </w:r>
      <w:r>
        <w:rPr>
          <w:rFonts w:hint="eastAsia" w:ascii="仿宋_GB2312" w:hAnsi="仿宋_GB2312" w:eastAsia="仿宋_GB2312" w:cs="仿宋_GB2312"/>
          <w:sz w:val="28"/>
          <w:szCs w:val="28"/>
        </w:rPr>
        <w:t>用50%辛硫磷1000倍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液</w:t>
      </w:r>
      <w:r>
        <w:rPr>
          <w:rFonts w:hint="eastAsia" w:ascii="仿宋_GB2312" w:hAnsi="仿宋_GB2312" w:eastAsia="仿宋_GB2312" w:cs="仿宋_GB2312"/>
          <w:sz w:val="28"/>
          <w:szCs w:val="28"/>
        </w:rPr>
        <w:t>浇灌防治，拌麦麸3.0 kg，加水0.5kg，制成毒饵，傍晚撒施于苗株附近。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4.3.2.2.3喷药防治。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在整地时可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</w:rPr>
        <w:t>地面喷施50%辛硫磷200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g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sz w:val="28"/>
          <w:szCs w:val="28"/>
        </w:rPr>
        <w:t>，结合耙地混土施入土中；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在苗期，傍晚使用20%氯虫苯甲酰胺10g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+4.5%高效氯氰菊酯40g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或4.5%高效氯氰菊酯40g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+噻虫嗪10g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/667m²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喷撒土表，可有效防治中药材苗期的多种地下害虫。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3640" w:firstLineChars="1300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3640" w:firstLineChars="1300"/>
        <w:jc w:val="both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szCs w:val="28"/>
        </w:rPr>
        <w:t>附录A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jc w:val="center"/>
        <w:rPr>
          <w:rFonts w:hint="eastAsia"/>
        </w:rPr>
      </w:pPr>
      <w:r>
        <w:rPr>
          <w:rFonts w:hint="eastAsia"/>
        </w:rPr>
        <w:t>（资料性附录）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红花，菊科，</w:t>
      </w:r>
      <w:r>
        <w:rPr>
          <w:rFonts w:hint="eastAsia" w:ascii="仿宋_GB2312" w:hAnsi="仿宋_GB2312" w:eastAsia="仿宋_GB2312" w:cs="仿宋_GB2312"/>
          <w:sz w:val="28"/>
          <w:szCs w:val="28"/>
        </w:rPr>
        <w:t>双子叶植物，又称草红花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1年生草本植物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既是自花授粉作物，又是异花授粉作物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是一种油、药、饲料、天然色素、染料兼用的经济作物。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花是药油兼用的经济作物，其花是我国的传统中药，具有活血通经、散瘀止痛、降血压和降血脂的功效，用于治疗痛经、跌打损伤、冠心病、心绞痛和高血压等疾病。红花是喜温长日照作物，抗旱、耐寒、耐盐碱、耐瘠薄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，是一种投入低、产值高、效益好、市场前景广阔的经济药用作物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。近年来，</w:t>
      </w:r>
      <w:r>
        <w:rPr>
          <w:rFonts w:hint="eastAsia" w:ascii="仿宋_GB2312" w:hAnsi="仿宋_GB2312" w:eastAsia="仿宋_GB2312" w:cs="仿宋_GB2312"/>
          <w:sz w:val="28"/>
          <w:szCs w:val="28"/>
        </w:rPr>
        <w:t>伊犁州党委、政府也十分重视红花产业的发展，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2011年霍城县果子沟红花种植基地已成为全疆首家获得国家中药材GAP规范认证的基地。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我国红花主产区主要集中在新疆，其次为云南、四川、河南、河北、山东、浙江、江苏等省，其中新疆播种面积占全国的70-80%以上，主要分布在塔城、昌吉、伊犁河谷。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红花的病虫害主要有地下害虫、象甲、根腐病、褐斑病、锈病等。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2774315</wp:posOffset>
            </wp:positionH>
            <wp:positionV relativeFrom="paragraph">
              <wp:posOffset>143510</wp:posOffset>
            </wp:positionV>
            <wp:extent cx="2276475" cy="1427480"/>
            <wp:effectExtent l="0" t="0" r="0" b="1270"/>
            <wp:wrapTight wrapText="bothSides">
              <wp:wrapPolygon>
                <wp:start x="0" y="0"/>
                <wp:lineTo x="0" y="21331"/>
                <wp:lineTo x="21510" y="21331"/>
                <wp:lineTo x="21510" y="0"/>
                <wp:lineTo x="0" y="0"/>
              </wp:wrapPolygon>
            </wp:wrapTight>
            <wp:docPr id="1" name="图片 1" descr="IMG_7832(20210703-09322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7832(20210703-093229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119380</wp:posOffset>
            </wp:positionV>
            <wp:extent cx="2058035" cy="1350645"/>
            <wp:effectExtent l="0" t="0" r="0" b="1905"/>
            <wp:wrapTight wrapText="bothSides">
              <wp:wrapPolygon>
                <wp:start x="0" y="0"/>
                <wp:lineTo x="0" y="21326"/>
                <wp:lineTo x="21393" y="21326"/>
                <wp:lineTo x="21393" y="0"/>
                <wp:lineTo x="0" y="0"/>
              </wp:wrapPolygon>
            </wp:wrapTight>
            <wp:docPr id="2" name="图片 2" descr="IMG_7833(20210703-09322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7833(20210703-093229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58035" cy="1350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rPr>
          <w:sz w:val="28"/>
          <w:szCs w:val="28"/>
        </w:rPr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rPr>
          <w:sz w:val="28"/>
          <w:szCs w:val="28"/>
        </w:rPr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rPr>
          <w:sz w:val="28"/>
          <w:szCs w:val="28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231140</wp:posOffset>
            </wp:positionV>
            <wp:extent cx="2172970" cy="1377315"/>
            <wp:effectExtent l="0" t="0" r="36830" b="13335"/>
            <wp:wrapTight wrapText="bothSides">
              <wp:wrapPolygon>
                <wp:start x="0" y="0"/>
                <wp:lineTo x="0" y="21212"/>
                <wp:lineTo x="21398" y="21212"/>
                <wp:lineTo x="21398" y="0"/>
                <wp:lineTo x="0" y="0"/>
              </wp:wrapPolygon>
            </wp:wrapTight>
            <wp:docPr id="4" name="图片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ag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224155</wp:posOffset>
            </wp:positionV>
            <wp:extent cx="2216150" cy="1424305"/>
            <wp:effectExtent l="0" t="0" r="0" b="4445"/>
            <wp:wrapTight wrapText="bothSides">
              <wp:wrapPolygon>
                <wp:start x="0" y="0"/>
                <wp:lineTo x="0" y="21379"/>
                <wp:lineTo x="21352" y="21379"/>
                <wp:lineTo x="21352" y="0"/>
                <wp:lineTo x="0" y="0"/>
              </wp:wrapPolygon>
            </wp:wrapTight>
            <wp:docPr id="5" name="图片 1" descr="c4d812ee013b9b51ae0bd5cbbb491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c4d812ee013b9b51ae0bd5cbbb491db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</w:pP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</w:pPr>
    </w:p>
    <w:p>
      <w:pPr>
        <w:pStyle w:val="28"/>
        <w:keepNext w:val="0"/>
        <w:keepLines w:val="0"/>
        <w:pageBreakBefore w:val="0"/>
        <w:framePr w:w="0" w:hRule="auto" w:wrap="auto" w:vAnchor="margin" w:hAnchor="text" w:xAlign="left" w:yAlign="inline"/>
        <w:topLinePunct w:val="0"/>
        <w:bidi w:val="0"/>
        <w:adjustRightInd/>
        <w:spacing w:line="560" w:lineRule="exac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编 </w:t>
      </w:r>
      <w:r>
        <w:rPr>
          <w:rFonts w:hint="eastAsia"/>
          <w:b/>
          <w:bCs/>
          <w:sz w:val="32"/>
          <w:szCs w:val="32"/>
          <w:lang w:eastAsia="zh-CN"/>
        </w:rPr>
        <w:t>编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>制 说 明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rPr>
          <w:rFonts w:hint="eastAsia" w:hAnsi="宋体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716" w:firstLineChars="256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伊犁州农业技术推广总站等单位依托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自治区劳模工匠人才工作室经费和察布查尔县特培项目经费，在伊宁县和察布查尔县开展红花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病虫害绿色防控技术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示范区，做到有计划、有重点、有步骤的加以推进。成立技术专家组，建立合作机制，发挥各自优势，加强技术指导，统一研究和协调解决示范推广中遇到的困难和问题。为确保红花高产创建活动取得成效。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该规程针对</w:t>
      </w:r>
      <w:r>
        <w:rPr>
          <w:rFonts w:hint="eastAsia" w:ascii="仿宋" w:hAnsi="仿宋" w:eastAsia="仿宋" w:cs="仿宋"/>
          <w:sz w:val="28"/>
          <w:szCs w:val="28"/>
        </w:rPr>
        <w:t>伊犁州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红花区域病虫害的</w:t>
      </w:r>
      <w:r>
        <w:rPr>
          <w:rFonts w:hint="eastAsia" w:ascii="仿宋" w:hAnsi="仿宋" w:eastAsia="仿宋" w:cs="仿宋"/>
          <w:sz w:val="28"/>
          <w:szCs w:val="28"/>
        </w:rPr>
        <w:t>分布、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田间</w:t>
      </w:r>
      <w:r>
        <w:rPr>
          <w:rFonts w:hint="eastAsia" w:ascii="仿宋" w:hAnsi="仿宋" w:eastAsia="仿宋" w:cs="仿宋"/>
          <w:sz w:val="28"/>
          <w:szCs w:val="28"/>
        </w:rPr>
        <w:t>特征、发生规律等相关调查与研究，并在此基础上，进行了田间综合防控试验，制定了以生物防治、生态调控、与环境相容化学防治为重点的《红花病虫害发生及绿色防控技术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规程</w:t>
      </w:r>
      <w:r>
        <w:rPr>
          <w:rFonts w:hint="eastAsia" w:ascii="仿宋" w:hAnsi="仿宋" w:eastAsia="仿宋" w:cs="仿宋"/>
          <w:sz w:val="28"/>
          <w:szCs w:val="28"/>
        </w:rPr>
        <w:t>》，便于指导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红花病虫害的</w:t>
      </w:r>
      <w:r>
        <w:rPr>
          <w:rFonts w:hint="eastAsia" w:ascii="仿宋" w:hAnsi="仿宋" w:eastAsia="仿宋" w:cs="仿宋"/>
          <w:sz w:val="28"/>
          <w:szCs w:val="28"/>
        </w:rPr>
        <w:t>综合防治。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该规程</w:t>
      </w:r>
      <w:r>
        <w:rPr>
          <w:rFonts w:hint="eastAsia" w:ascii="仿宋" w:hAnsi="仿宋" w:eastAsia="仿宋" w:cs="仿宋"/>
          <w:kern w:val="0"/>
          <w:sz w:val="28"/>
          <w:szCs w:val="28"/>
        </w:rPr>
        <w:t>结合国家相关技术标准的规定与要求，</w:t>
      </w:r>
      <w:r>
        <w:rPr>
          <w:rFonts w:hint="eastAsia" w:ascii="仿宋" w:hAnsi="仿宋" w:eastAsia="仿宋" w:cs="仿宋"/>
          <w:sz w:val="28"/>
          <w:szCs w:val="28"/>
        </w:rPr>
        <w:t>遵循标准制定过程中的科学性、先进性、经济性和适用性的原则，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依</w:t>
      </w:r>
      <w:r>
        <w:rPr>
          <w:rFonts w:hint="eastAsia" w:ascii="仿宋" w:hAnsi="仿宋" w:eastAsia="仿宋" w:cs="仿宋"/>
          <w:kern w:val="0"/>
          <w:sz w:val="28"/>
          <w:szCs w:val="28"/>
        </w:rPr>
        <w:t>据伊犁河谷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红花</w:t>
      </w:r>
      <w:r>
        <w:rPr>
          <w:rFonts w:hint="eastAsia" w:ascii="仿宋" w:hAnsi="仿宋" w:eastAsia="仿宋" w:cs="仿宋"/>
          <w:kern w:val="0"/>
          <w:sz w:val="28"/>
          <w:szCs w:val="28"/>
        </w:rPr>
        <w:t>生产条件，伊犁州农业技术推广总站、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察布查尔县农业技术推广站</w:t>
      </w:r>
      <w:r>
        <w:rPr>
          <w:rFonts w:hint="eastAsia" w:ascii="仿宋" w:hAnsi="仿宋" w:eastAsia="仿宋" w:cs="仿宋"/>
          <w:kern w:val="0"/>
          <w:sz w:val="28"/>
          <w:szCs w:val="28"/>
        </w:rPr>
        <w:t>等单位组织人员按照GB/T1.1-20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kern w:val="0"/>
          <w:sz w:val="28"/>
          <w:szCs w:val="28"/>
        </w:rPr>
        <w:t>《标准化工作导则第1部分：标准的结构和编写规则》要求和对稻水象甲的防控实践，制定了《</w:t>
      </w:r>
      <w:r>
        <w:rPr>
          <w:rFonts w:hint="eastAsia" w:ascii="仿宋" w:hAnsi="仿宋" w:eastAsia="仿宋" w:cs="仿宋"/>
          <w:sz w:val="28"/>
          <w:szCs w:val="28"/>
        </w:rPr>
        <w:t>红花病虫害发生及绿色防控技术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规程</w:t>
      </w:r>
      <w:r>
        <w:rPr>
          <w:rFonts w:hint="eastAsia" w:ascii="仿宋" w:hAnsi="仿宋" w:eastAsia="仿宋" w:cs="仿宋"/>
          <w:kern w:val="0"/>
          <w:sz w:val="28"/>
          <w:szCs w:val="28"/>
        </w:rPr>
        <w:t>》，对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红花病虫害</w:t>
      </w:r>
      <w:r>
        <w:rPr>
          <w:rFonts w:hint="eastAsia" w:ascii="仿宋" w:hAnsi="仿宋" w:eastAsia="仿宋" w:cs="仿宋"/>
          <w:kern w:val="0"/>
          <w:sz w:val="28"/>
          <w:szCs w:val="28"/>
        </w:rPr>
        <w:t>的术语定义</w:t>
      </w:r>
      <w:r>
        <w:rPr>
          <w:rFonts w:hint="eastAsia" w:ascii="仿宋" w:hAnsi="仿宋" w:eastAsia="仿宋" w:cs="仿宋"/>
          <w:sz w:val="28"/>
          <w:szCs w:val="28"/>
        </w:rPr>
        <w:t>、综合防治等提出了具体的要求。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该标准在制订过程中未出现重大意见分歧。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该标准的制订发布，便于指导伊犁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红花病虫害</w:t>
      </w:r>
      <w:r>
        <w:rPr>
          <w:rFonts w:hint="eastAsia" w:ascii="仿宋" w:hAnsi="仿宋" w:eastAsia="仿宋" w:cs="仿宋"/>
          <w:kern w:val="0"/>
          <w:sz w:val="28"/>
          <w:szCs w:val="28"/>
        </w:rPr>
        <w:t>规范化、标准化的综合防控，提高当地防治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红花病虫害</w:t>
      </w:r>
      <w:r>
        <w:rPr>
          <w:rFonts w:hint="eastAsia" w:ascii="仿宋" w:hAnsi="仿宋" w:eastAsia="仿宋" w:cs="仿宋"/>
          <w:kern w:val="0"/>
          <w:sz w:val="28"/>
          <w:szCs w:val="28"/>
        </w:rPr>
        <w:t>的防控水平，推动当地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红花</w:t>
      </w:r>
      <w:r>
        <w:rPr>
          <w:rFonts w:hint="eastAsia" w:ascii="仿宋" w:hAnsi="仿宋" w:eastAsia="仿宋" w:cs="仿宋"/>
          <w:kern w:val="0"/>
          <w:sz w:val="28"/>
          <w:szCs w:val="28"/>
        </w:rPr>
        <w:t>产业持续健康发展。</w:t>
      </w:r>
    </w:p>
    <w:p>
      <w:pPr>
        <w:keepNext w:val="0"/>
        <w:keepLines w:val="0"/>
        <w:pageBreakBefore w:val="0"/>
        <w:topLinePunct w:val="0"/>
        <w:bidi w:val="0"/>
        <w:adjustRightInd/>
        <w:spacing w:line="560" w:lineRule="exact"/>
        <w:rPr>
          <w:rFonts w:hint="eastAsia" w:ascii="仿宋" w:hAnsi="仿宋" w:eastAsia="仿宋" w:cs="仿宋"/>
          <w:sz w:val="28"/>
          <w:szCs w:val="28"/>
        </w:rPr>
      </w:pPr>
    </w:p>
    <w:sectPr>
      <w:headerReference r:id="rId9" w:type="default"/>
      <w:footerReference r:id="rId10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643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gUyskBAACbAwAADgAAAGRycy9lMm9Eb2MueG1srVNLbtswEN0X6B0I&#10;7msqXgSGYDloYaQoEKQF0h6ApkiLAH/g0JZ8gfYGXXXTfc/lc3RISU6bbLLIhhrODN/MezNa3wzW&#10;kKOMoL1r6NWiokQ64Vvt9g399vX23YoSSNy13HgnG3qSQG82b9+s+1DLpe+8aWUkCOKg7kNDu5RC&#10;zRiITloOCx+kw6Dy0fKE17hnbeQ9olvDllV1zXof2xC9kADo3Y5BOiHGlwB6pbSQWy8OVro0okZp&#10;eEJK0OkAdFO6VUqK9FkpkImYhiLTVE4sgvYun2yz5vU+8tBpMbXAX9LCE06Wa4dFL1Bbnjg5RP0M&#10;ymoRPXiVFsJbNhIpiiCLq+qJNg8dD7JwQakhXESH14MV98cvkegWN+GaEsctTvz888f515/z7+8E&#10;fShQH6DGvIeAmWn44AdMnv2Azsx7UNHmLzIiGEd5Txd55ZCIyI9Wy9WqwpDA2HxBfPb4PERIH6W3&#10;JBsNjTi/Iis/3kEaU+eUXM35W21MmaFx/zkQM3tY7n3sMVtp2A0ToZ1vT8inx9E31OGmU2I+OVQ2&#10;b8lsxNnYzcYhRL3vyhrlehDeHxI2UXrLFUbYqTDOrLCb9isvxb/3kvX4T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CMOBTKyQEAAJs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745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ZoqY8kBAACbAwAADgAAAGRycy9lMm9Eb2MueG1srVPNjtMwEL6vxDtY&#10;vlNnK4G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lvKHHc4sTPP3+cfz2eH74T&#10;9KFAfYAa8+4CZqbhvR8wefYDOjPvQUWbv8iIYBzlPV3klUMiIj9aLVerCkMCY/MF8dnT8xAhfZDe&#10;kmw0NOL8iqz8+AnSmDqn5GrO32pjygyN+8uBmNnDcu9jj9lKw26YCO18e0I+PY6+oQ43nRLz0aGy&#10;eUtmI87GbjYOIep9V9Yo14Pw7pCwidJbrjDCToVxZoXdtF95Kf68l6ynf2rz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1mipjyQEAAJs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720"/>
      <w:jc w:val="both"/>
      <w:rPr>
        <w:sz w:val="2"/>
        <w:szCs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848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unmGe8gBAACb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k4d8ctTvz84/v55+/zr28E&#10;fShQH6DGvMeAmWm48QMmz35AZ+Y9qGjzFxkRjKO8p4u8ckhE5Eer5WpVYUhgbL4gPnt6HiKkO+kt&#10;yUZDI86vyMqP95DG1DklV3P+VhtTZmjcXw7EzB6Wex97zFYadsNEaOfbE/LpcfQNdbjplJiPDpXN&#10;WzIbcTZ2s3EIUe+7ska5HoQPh4RNlN5yhRF2KowzK+ym/cpL8fxesp7+qc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Lp5hnvIAQAAmw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3sYQ8gBAACb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koieMWJ37+8f388/f51zeC&#10;PhSoD1Bj3mPAzDTc+AGTZz+gM/MeVLT5i4wIxhHrdJFXDomI/Gi1XK0qDAmMzRfEZ0/PQ4R0J70l&#10;2WhoxPkVWfnxHtKYOqfkas7famPKDI37y4GY2cNy72OP2UrDbpgI7Xx7Qj49jr6hDjedEvPRobLY&#10;X5qNOBu72TiEqPddWaNcD8KHQ8ImSm+5wgg7FcaZFXbTfuWleH4vWU//1OY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L97GEPIAQAAmw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spacing w:after="360" w:line="240" w:lineRule="auto"/>
      <w:jc w:val="right"/>
      <w:rPr>
        <w:rFonts w:hint="eastAsia" w:ascii="黑体" w:hAnsi="黑体" w:eastAsia="黑体" w:cs="黑体"/>
        <w:bCs/>
        <w:sz w:val="21"/>
        <w:szCs w:val="21"/>
      </w:rPr>
    </w:pPr>
    <w:r>
      <w:rPr>
        <w:rFonts w:hint="eastAsia" w:ascii="黑体" w:hAnsi="黑体" w:eastAsia="黑体" w:cs="黑体"/>
        <w:bCs/>
        <w:sz w:val="21"/>
        <w:szCs w:val="21"/>
      </w:rPr>
      <w:t>DB6540/T 004—2022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spacing w:after="360" w:line="240" w:lineRule="auto"/>
      <w:jc w:val="right"/>
      <w:rPr>
        <w:rFonts w:hint="eastAsia" w:ascii="黑体" w:hAnsi="黑体" w:eastAsia="黑体" w:cs="黑体"/>
        <w:bCs/>
        <w:sz w:val="21"/>
        <w:szCs w:val="21"/>
        <w:lang w:val="en-US" w:eastAsia="zh-CN"/>
      </w:rPr>
    </w:pPr>
    <w:r>
      <w:rPr>
        <w:rFonts w:hint="eastAsia" w:ascii="黑体" w:hAnsi="黑体" w:eastAsia="黑体" w:cs="黑体"/>
        <w:bCs/>
        <w:sz w:val="21"/>
        <w:szCs w:val="21"/>
      </w:rPr>
      <w:t>DB6540/T 004—202</w:t>
    </w:r>
    <w:r>
      <w:rPr>
        <w:rFonts w:hint="eastAsia" w:ascii="黑体" w:hAnsi="黑体" w:eastAsia="黑体" w:cs="黑体"/>
        <w:bCs/>
        <w:sz w:val="21"/>
        <w:szCs w:val="21"/>
        <w:lang w:val="en-US" w:eastAsia="zh-CN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27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54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MDdiMGE0YTcwN2EyODU4NjdhMTQ1MGU2MDA3OTQifQ=="/>
  </w:docVars>
  <w:rsids>
    <w:rsidRoot w:val="59E01002"/>
    <w:rsid w:val="06AB256C"/>
    <w:rsid w:val="0E252C04"/>
    <w:rsid w:val="108B39B0"/>
    <w:rsid w:val="15F232AA"/>
    <w:rsid w:val="169911B9"/>
    <w:rsid w:val="1C6A5966"/>
    <w:rsid w:val="22262C46"/>
    <w:rsid w:val="269970FB"/>
    <w:rsid w:val="28D41136"/>
    <w:rsid w:val="2ABE7096"/>
    <w:rsid w:val="3276433D"/>
    <w:rsid w:val="32B274A9"/>
    <w:rsid w:val="3692328D"/>
    <w:rsid w:val="38D1110E"/>
    <w:rsid w:val="3B2C6AD0"/>
    <w:rsid w:val="3E284DC4"/>
    <w:rsid w:val="3E295549"/>
    <w:rsid w:val="3E5A7D0F"/>
    <w:rsid w:val="415E36CB"/>
    <w:rsid w:val="492F181C"/>
    <w:rsid w:val="4D714816"/>
    <w:rsid w:val="4EE334F2"/>
    <w:rsid w:val="501716A5"/>
    <w:rsid w:val="504F6AF3"/>
    <w:rsid w:val="50CF1F80"/>
    <w:rsid w:val="52DB1E66"/>
    <w:rsid w:val="556E0C6F"/>
    <w:rsid w:val="59E01002"/>
    <w:rsid w:val="5A146C55"/>
    <w:rsid w:val="5AB70AAD"/>
    <w:rsid w:val="5E394EDC"/>
    <w:rsid w:val="602124C8"/>
    <w:rsid w:val="69B875FD"/>
    <w:rsid w:val="6A3D3060"/>
    <w:rsid w:val="6C3513D9"/>
    <w:rsid w:val="6C7517D5"/>
    <w:rsid w:val="6D260202"/>
    <w:rsid w:val="73131D48"/>
    <w:rsid w:val="74EB1857"/>
    <w:rsid w:val="78E0447A"/>
    <w:rsid w:val="79C913B2"/>
    <w:rsid w:val="7A84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 w:hAnsi="Times New Roman"/>
      <w:kern w:val="0"/>
      <w:sz w:val="18"/>
      <w:szCs w:val="18"/>
    </w:rPr>
  </w:style>
  <w:style w:type="paragraph" w:styleId="6">
    <w:name w:val="header"/>
    <w:basedOn w:val="1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Emphasis"/>
    <w:basedOn w:val="10"/>
    <w:qFormat/>
    <w:uiPriority w:val="0"/>
    <w:rPr>
      <w:i/>
    </w:rPr>
  </w:style>
  <w:style w:type="character" w:styleId="14">
    <w:name w:val="Hyperlink"/>
    <w:basedOn w:val="10"/>
    <w:qFormat/>
    <w:uiPriority w:val="0"/>
    <w:rPr>
      <w:color w:val="0000FF"/>
      <w:u w:val="single"/>
    </w:rPr>
  </w:style>
  <w:style w:type="paragraph" w:customStyle="1" w:styleId="15">
    <w:name w:val="标准文件_文件编号"/>
    <w:basedOn w:val="16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bidi="ar-SA"/>
    </w:rPr>
  </w:style>
  <w:style w:type="paragraph" w:customStyle="1" w:styleId="17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8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19">
    <w:name w:val="标准文件_文件名称"/>
    <w:basedOn w:val="16"/>
    <w:next w:val="16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">
    <w:name w:val="其他发布日期"/>
    <w:basedOn w:val="21"/>
    <w:qFormat/>
    <w:uiPriority w:val="0"/>
    <w:pPr>
      <w:framePr w:w="3997" w:h="471" w:hRule="exact" w:hSpace="0" w:vSpace="181" w:vAnchor="page" w:hAnchor="page" w:x="1419" w:y="14097"/>
    </w:pPr>
  </w:style>
  <w:style w:type="paragraph" w:customStyle="1" w:styleId="21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22">
    <w:name w:val="其他实施日期"/>
    <w:basedOn w:val="23"/>
    <w:qFormat/>
    <w:uiPriority w:val="0"/>
    <w:pPr>
      <w:framePr w:w="3997" w:h="471" w:hRule="exact" w:vSpace="181" w:vAnchor="page" w:hAnchor="page" w:x="7089" w:y="14097"/>
    </w:pPr>
  </w:style>
  <w:style w:type="paragraph" w:customStyle="1" w:styleId="23">
    <w:name w:val="实施日期"/>
    <w:basedOn w:val="21"/>
    <w:qFormat/>
    <w:uiPriority w:val="0"/>
    <w:pPr>
      <w:framePr w:hSpace="0" w:xAlign="right"/>
      <w:jc w:val="right"/>
    </w:pPr>
  </w:style>
  <w:style w:type="paragraph" w:customStyle="1" w:styleId="24">
    <w:name w:val="其他发布部门"/>
    <w:basedOn w:val="2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25">
    <w:name w:val="发布部门"/>
    <w:next w:val="26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2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">
    <w:name w:val="章标题"/>
    <w:next w:val="1"/>
    <w:qFormat/>
    <w:uiPriority w:val="0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8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paragraph" w:customStyle="1" w:styleId="29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4.jpeg"/><Relationship Id="rId15" Type="http://schemas.openxmlformats.org/officeDocument/2006/relationships/image" Target="media/image3.jpeg"/><Relationship Id="rId14" Type="http://schemas.openxmlformats.org/officeDocument/2006/relationships/image" Target="media/image2.jpeg"/><Relationship Id="rId13" Type="http://schemas.openxmlformats.org/officeDocument/2006/relationships/image" Target="media/image1.jpeg"/><Relationship Id="rId12" Type="http://schemas.openxmlformats.org/officeDocument/2006/relationships/image" Target="media/image1.tiff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2050" textRotate="1"/>
    <customShpInfo spid="_x0000_s205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2355</Words>
  <Characters>2880</Characters>
  <Lines>0</Lines>
  <Paragraphs>0</Paragraphs>
  <TotalTime>4</TotalTime>
  <ScaleCrop>false</ScaleCrop>
  <LinksUpToDate>false</LinksUpToDate>
  <CharactersWithSpaces>3159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2021-10-10T09:57:00Z</dcterms:created>
  <dc:creator>尹登芝文君</dc:creator>
  <cp:lastModifiedBy>Administrator</cp:lastModifiedBy>
  <cp:lastPrinted>2023-04-07T08:36:58Z</cp:lastPrinted>
  <dcterms:modified xsi:type="dcterms:W3CDTF">2023-04-07T08:37:24Z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ICV">
    <vt:lpwstr>5487E7156C7C4EB2A670BE44EA20C7EA</vt:lpwstr>
  </property>
</Properties>
</file>